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17" w:rsidRPr="00461457" w:rsidRDefault="00FC3917" w:rsidP="00461457">
      <w:pPr>
        <w:spacing w:after="0" w:line="360" w:lineRule="auto"/>
        <w:jc w:val="center"/>
        <w:rPr>
          <w:rFonts w:ascii="Times New Roman" w:hAnsi="Times New Roman" w:cs="Times New Roman"/>
          <w:sz w:val="24"/>
          <w:szCs w:val="24"/>
        </w:rPr>
      </w:pPr>
    </w:p>
    <w:p w:rsidR="00FC3917" w:rsidRPr="00B0159C" w:rsidRDefault="00FC3917" w:rsidP="00461457">
      <w:pPr>
        <w:spacing w:after="0" w:line="360" w:lineRule="auto"/>
        <w:jc w:val="center"/>
        <w:rPr>
          <w:rFonts w:ascii="Times New Roman" w:hAnsi="Times New Roman" w:cs="Times New Roman"/>
          <w:b/>
          <w:sz w:val="28"/>
          <w:szCs w:val="28"/>
        </w:rPr>
      </w:pPr>
      <w:r w:rsidRPr="00B0159C">
        <w:rPr>
          <w:rFonts w:ascii="Times New Roman" w:hAnsi="Times New Roman" w:cs="Times New Roman"/>
          <w:b/>
          <w:sz w:val="28"/>
          <w:szCs w:val="28"/>
        </w:rPr>
        <w:t>The impact of risk factors for coronary heart disease on related disability in older Irish adults</w:t>
      </w:r>
    </w:p>
    <w:p w:rsidR="00FC3917" w:rsidRDefault="00FC3917" w:rsidP="00461457">
      <w:pPr>
        <w:spacing w:after="0" w:line="360" w:lineRule="auto"/>
        <w:rPr>
          <w:rFonts w:ascii="Times New Roman" w:hAnsi="Times New Roman" w:cs="Times New Roman"/>
          <w:sz w:val="24"/>
          <w:szCs w:val="24"/>
        </w:rPr>
      </w:pPr>
    </w:p>
    <w:p w:rsidR="00FC3917" w:rsidRDefault="00FC3917" w:rsidP="00461457">
      <w:pPr>
        <w:spacing w:after="0" w:line="360" w:lineRule="auto"/>
        <w:rPr>
          <w:rFonts w:ascii="Times New Roman" w:hAnsi="Times New Roman" w:cs="Times New Roman"/>
          <w:sz w:val="24"/>
          <w:szCs w:val="24"/>
        </w:rPr>
      </w:pPr>
    </w:p>
    <w:p w:rsidR="00FC3917" w:rsidRPr="00B0159C" w:rsidRDefault="00FC3917" w:rsidP="00461457">
      <w:pPr>
        <w:spacing w:after="0" w:line="360" w:lineRule="auto"/>
        <w:rPr>
          <w:rFonts w:ascii="Times New Roman" w:hAnsi="Times New Roman" w:cs="Times New Roman"/>
          <w:b/>
          <w:sz w:val="28"/>
          <w:szCs w:val="28"/>
        </w:rPr>
      </w:pPr>
      <w:r w:rsidRPr="00B0159C">
        <w:rPr>
          <w:rFonts w:ascii="Times New Roman" w:hAnsi="Times New Roman" w:cs="Times New Roman"/>
          <w:b/>
          <w:sz w:val="28"/>
          <w:szCs w:val="28"/>
        </w:rPr>
        <w:t>Authors</w:t>
      </w:r>
    </w:p>
    <w:p w:rsidR="00FC3917" w:rsidRPr="006104E0" w:rsidRDefault="00FC3917" w:rsidP="00461457">
      <w:pPr>
        <w:spacing w:after="0" w:line="360" w:lineRule="auto"/>
        <w:rPr>
          <w:rFonts w:ascii="Times New Roman" w:hAnsi="Times New Roman" w:cs="Times New Roman"/>
          <w:sz w:val="24"/>
          <w:szCs w:val="24"/>
        </w:rPr>
      </w:pPr>
      <w:r w:rsidRPr="006104E0">
        <w:rPr>
          <w:rFonts w:ascii="Times New Roman" w:hAnsi="Times New Roman" w:cs="Times New Roman"/>
          <w:sz w:val="24"/>
          <w:szCs w:val="24"/>
        </w:rPr>
        <w:t>Sharon</w:t>
      </w:r>
      <w:r>
        <w:rPr>
          <w:rFonts w:ascii="Times New Roman" w:hAnsi="Times New Roman" w:cs="Times New Roman"/>
          <w:sz w:val="24"/>
          <w:szCs w:val="24"/>
        </w:rPr>
        <w:t xml:space="preserve"> M.</w:t>
      </w:r>
      <w:r w:rsidRPr="006104E0">
        <w:rPr>
          <w:rFonts w:ascii="Times New Roman" w:hAnsi="Times New Roman" w:cs="Times New Roman"/>
          <w:sz w:val="24"/>
          <w:szCs w:val="24"/>
        </w:rPr>
        <w:t xml:space="preserve"> Cruis</w:t>
      </w:r>
      <w:r>
        <w:rPr>
          <w:rFonts w:ascii="Times New Roman" w:hAnsi="Times New Roman" w:cs="Times New Roman"/>
          <w:sz w:val="24"/>
          <w:szCs w:val="24"/>
        </w:rPr>
        <w:t>e, PhD</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FC3917" w:rsidRDefault="00FC3917" w:rsidP="00461457">
      <w:pPr>
        <w:spacing w:after="0" w:line="360" w:lineRule="auto"/>
        <w:rPr>
          <w:rFonts w:ascii="Times New Roman" w:hAnsi="Times New Roman" w:cs="Times New Roman"/>
          <w:sz w:val="24"/>
          <w:szCs w:val="24"/>
        </w:rPr>
      </w:pPr>
      <w:r w:rsidRPr="006104E0">
        <w:rPr>
          <w:rFonts w:ascii="Times New Roman" w:hAnsi="Times New Roman" w:cs="Times New Roman"/>
          <w:sz w:val="24"/>
          <w:szCs w:val="24"/>
        </w:rPr>
        <w:t>John Hughe</w:t>
      </w:r>
      <w:r>
        <w:rPr>
          <w:rFonts w:ascii="Times New Roman" w:hAnsi="Times New Roman" w:cs="Times New Roman"/>
          <w:sz w:val="24"/>
          <w:szCs w:val="24"/>
        </w:rPr>
        <w:t>s, MSc</w:t>
      </w:r>
      <w:r>
        <w:rPr>
          <w:rFonts w:ascii="Times New Roman" w:hAnsi="Times New Roman" w:cs="Times New Roman"/>
          <w:sz w:val="24"/>
          <w:szCs w:val="24"/>
          <w:vertAlign w:val="superscript"/>
        </w:rPr>
        <w:t>2</w:t>
      </w:r>
      <w:proofErr w:type="gramStart"/>
      <w:r w:rsidRPr="00C06151">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roofErr w:type="gramEnd"/>
    </w:p>
    <w:p w:rsidR="00FC3917" w:rsidRPr="006104E0" w:rsidRDefault="00FC3917" w:rsidP="00461457">
      <w:pPr>
        <w:spacing w:after="0" w:line="360" w:lineRule="auto"/>
        <w:rPr>
          <w:rFonts w:ascii="Times New Roman" w:hAnsi="Times New Roman" w:cs="Times New Roman"/>
          <w:sz w:val="24"/>
          <w:szCs w:val="24"/>
        </w:rPr>
      </w:pPr>
      <w:r w:rsidRPr="006104E0">
        <w:rPr>
          <w:rFonts w:ascii="Times New Roman" w:hAnsi="Times New Roman" w:cs="Times New Roman"/>
          <w:sz w:val="24"/>
          <w:szCs w:val="24"/>
        </w:rPr>
        <w:t>Kathleen Bennet</w:t>
      </w:r>
      <w:r>
        <w:rPr>
          <w:rFonts w:ascii="Times New Roman" w:hAnsi="Times New Roman" w:cs="Times New Roman"/>
          <w:sz w:val="24"/>
          <w:szCs w:val="24"/>
        </w:rPr>
        <w:t>t, PhD</w:t>
      </w:r>
      <w:r>
        <w:rPr>
          <w:rFonts w:ascii="Times New Roman" w:hAnsi="Times New Roman" w:cs="Times New Roman"/>
          <w:sz w:val="24"/>
          <w:szCs w:val="24"/>
          <w:vertAlign w:val="superscript"/>
        </w:rPr>
        <w:t>4</w:t>
      </w:r>
    </w:p>
    <w:p w:rsidR="00FC3917" w:rsidRDefault="00FC3917" w:rsidP="00461457">
      <w:pPr>
        <w:spacing w:after="0" w:line="360" w:lineRule="auto"/>
        <w:rPr>
          <w:rFonts w:ascii="Times New Roman" w:hAnsi="Times New Roman" w:cs="Times New Roman"/>
          <w:sz w:val="24"/>
          <w:szCs w:val="24"/>
        </w:rPr>
      </w:pPr>
      <w:r w:rsidRPr="006104E0">
        <w:rPr>
          <w:rFonts w:ascii="Times New Roman" w:hAnsi="Times New Roman" w:cs="Times New Roman"/>
          <w:sz w:val="24"/>
          <w:szCs w:val="24"/>
        </w:rPr>
        <w:t xml:space="preserve">Anne </w:t>
      </w:r>
      <w:proofErr w:type="spellStart"/>
      <w:r w:rsidRPr="006104E0">
        <w:rPr>
          <w:rFonts w:ascii="Times New Roman" w:hAnsi="Times New Roman" w:cs="Times New Roman"/>
          <w:sz w:val="24"/>
          <w:szCs w:val="24"/>
        </w:rPr>
        <w:t>Kouvone</w:t>
      </w:r>
      <w:r>
        <w:rPr>
          <w:rFonts w:ascii="Times New Roman" w:hAnsi="Times New Roman" w:cs="Times New Roman"/>
          <w:sz w:val="24"/>
          <w:szCs w:val="24"/>
        </w:rPr>
        <w:t>n</w:t>
      </w:r>
      <w:proofErr w:type="spellEnd"/>
      <w:r>
        <w:rPr>
          <w:rFonts w:ascii="Times New Roman" w:hAnsi="Times New Roman" w:cs="Times New Roman"/>
          <w:sz w:val="24"/>
          <w:szCs w:val="24"/>
        </w:rPr>
        <w:t>, PhD</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,5</w:t>
      </w:r>
      <w:r w:rsidRPr="00C06151">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proofErr w:type="gramEnd"/>
    </w:p>
    <w:p w:rsidR="00FC3917" w:rsidRPr="006104E0" w:rsidRDefault="00FC3917" w:rsidP="00461457">
      <w:pPr>
        <w:spacing w:after="0" w:line="360" w:lineRule="auto"/>
        <w:rPr>
          <w:rFonts w:ascii="Times New Roman" w:hAnsi="Times New Roman" w:cs="Times New Roman"/>
          <w:sz w:val="24"/>
          <w:szCs w:val="24"/>
        </w:rPr>
      </w:pPr>
      <w:r w:rsidRPr="006104E0">
        <w:rPr>
          <w:rFonts w:ascii="Times New Roman" w:hAnsi="Times New Roman" w:cs="Times New Roman"/>
          <w:sz w:val="24"/>
          <w:szCs w:val="24"/>
        </w:rPr>
        <w:t>Frank Ke</w:t>
      </w:r>
      <w:r>
        <w:rPr>
          <w:rFonts w:ascii="Times New Roman" w:hAnsi="Times New Roman" w:cs="Times New Roman"/>
          <w:sz w:val="24"/>
          <w:szCs w:val="24"/>
        </w:rPr>
        <w:t>e, MD</w:t>
      </w:r>
      <w:r>
        <w:rPr>
          <w:rFonts w:ascii="Times New Roman" w:hAnsi="Times New Roman" w:cs="Times New Roman"/>
          <w:sz w:val="24"/>
          <w:szCs w:val="24"/>
          <w:vertAlign w:val="superscript"/>
        </w:rPr>
        <w:t>1</w:t>
      </w:r>
      <w:proofErr w:type="gramStart"/>
      <w:r w:rsidRPr="00C06151">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proofErr w:type="gramEnd"/>
    </w:p>
    <w:p w:rsidR="00FC3917" w:rsidRDefault="00FC3917" w:rsidP="00461457">
      <w:pPr>
        <w:spacing w:after="0" w:line="360" w:lineRule="auto"/>
        <w:rPr>
          <w:rFonts w:ascii="Times New Roman" w:hAnsi="Times New Roman" w:cs="Times New Roman"/>
          <w:sz w:val="24"/>
          <w:szCs w:val="24"/>
        </w:rPr>
      </w:pPr>
    </w:p>
    <w:p w:rsidR="00FC3917" w:rsidRPr="00B0159C" w:rsidRDefault="00FC3917" w:rsidP="00461457">
      <w:pPr>
        <w:spacing w:after="0" w:line="360" w:lineRule="auto"/>
        <w:rPr>
          <w:rFonts w:ascii="Times New Roman" w:hAnsi="Times New Roman" w:cs="Times New Roman"/>
          <w:b/>
          <w:sz w:val="28"/>
          <w:szCs w:val="28"/>
        </w:rPr>
      </w:pPr>
      <w:r w:rsidRPr="00B0159C">
        <w:rPr>
          <w:rFonts w:ascii="Times New Roman" w:hAnsi="Times New Roman" w:cs="Times New Roman"/>
          <w:b/>
          <w:sz w:val="28"/>
          <w:szCs w:val="28"/>
        </w:rPr>
        <w:t>Affiliations</w:t>
      </w:r>
    </w:p>
    <w:p w:rsidR="00FC3917"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6104E0">
        <w:rPr>
          <w:rFonts w:ascii="Times New Roman" w:hAnsi="Times New Roman" w:cs="Times New Roman"/>
          <w:sz w:val="24"/>
          <w:szCs w:val="24"/>
        </w:rPr>
        <w:t xml:space="preserve">Centre for Public Health, </w:t>
      </w:r>
      <w:r w:rsidRPr="00B42B46">
        <w:rPr>
          <w:rFonts w:ascii="Times New Roman" w:hAnsi="Times New Roman" w:cs="Times New Roman"/>
          <w:sz w:val="24"/>
          <w:szCs w:val="24"/>
        </w:rPr>
        <w:t>School of Medicine, Dentistry and Biomedical Sciences, Queen’s University Belfast, Institute of Clinical Science B, Royal Victoria Hospital, Grosvenor Road, Belfast, BT12 6BJ, Northern Ireland, United Kingdom</w:t>
      </w:r>
    </w:p>
    <w:p w:rsidR="00FC3917" w:rsidRPr="006104E0"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6104E0">
        <w:rPr>
          <w:rFonts w:ascii="Times New Roman" w:hAnsi="Times New Roman" w:cs="Times New Roman"/>
          <w:sz w:val="24"/>
          <w:szCs w:val="24"/>
        </w:rPr>
        <w:t>UKCRC Centre of Excellence for Public Health (NI), Centre for Public Health, Queen’s University Belfast</w:t>
      </w:r>
      <w:r>
        <w:rPr>
          <w:rFonts w:ascii="Times New Roman" w:hAnsi="Times New Roman" w:cs="Times New Roman"/>
          <w:sz w:val="24"/>
          <w:szCs w:val="24"/>
        </w:rPr>
        <w:t>, Belfast, UK</w:t>
      </w:r>
    </w:p>
    <w:p w:rsidR="00FC3917" w:rsidRPr="006104E0"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6104E0">
        <w:rPr>
          <w:rFonts w:ascii="Times New Roman" w:hAnsi="Times New Roman" w:cs="Times New Roman"/>
          <w:sz w:val="24"/>
          <w:szCs w:val="24"/>
        </w:rPr>
        <w:t>Northern Ireland Statistics and Research Agency (NISRA)</w:t>
      </w:r>
      <w:r>
        <w:rPr>
          <w:rFonts w:ascii="Times New Roman" w:hAnsi="Times New Roman" w:cs="Times New Roman"/>
          <w:sz w:val="24"/>
          <w:szCs w:val="24"/>
        </w:rPr>
        <w:t>, Belfast, UK</w:t>
      </w:r>
    </w:p>
    <w:p w:rsidR="00FC3917" w:rsidRPr="006104E0"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4 </w:t>
      </w:r>
      <w:r>
        <w:rPr>
          <w:rFonts w:ascii="Times New Roman" w:hAnsi="Times New Roman" w:cs="Times New Roman"/>
          <w:sz w:val="24"/>
          <w:szCs w:val="24"/>
        </w:rPr>
        <w:t>Department of Pharmacology and Therapeutics, T</w:t>
      </w:r>
      <w:r w:rsidRPr="006104E0">
        <w:rPr>
          <w:rFonts w:ascii="Times New Roman" w:hAnsi="Times New Roman" w:cs="Times New Roman"/>
          <w:sz w:val="24"/>
          <w:szCs w:val="24"/>
        </w:rPr>
        <w:t>rinity Centre for Health Sciences, St James’s Hospital, Dublin</w:t>
      </w:r>
      <w:r>
        <w:rPr>
          <w:rFonts w:ascii="Times New Roman" w:hAnsi="Times New Roman" w:cs="Times New Roman"/>
          <w:sz w:val="24"/>
          <w:szCs w:val="24"/>
        </w:rPr>
        <w:t>, Ireland</w:t>
      </w:r>
    </w:p>
    <w:p w:rsidR="00FC3917" w:rsidRPr="00221805" w:rsidRDefault="00FC3917" w:rsidP="00461457">
      <w:pPr>
        <w:spacing w:after="0" w:line="360" w:lineRule="auto"/>
        <w:rPr>
          <w:rFonts w:ascii="Times New Roman" w:hAnsi="Times New Roman" w:cs="Times New Roman"/>
          <w:sz w:val="24"/>
        </w:rPr>
      </w:pPr>
      <w:r>
        <w:rPr>
          <w:rFonts w:ascii="Times New Roman" w:hAnsi="Times New Roman" w:cs="Times New Roman"/>
          <w:sz w:val="24"/>
          <w:vertAlign w:val="superscript"/>
        </w:rPr>
        <w:t xml:space="preserve">5 </w:t>
      </w:r>
      <w:proofErr w:type="gramStart"/>
      <w:r w:rsidRPr="00221805">
        <w:rPr>
          <w:rFonts w:ascii="Times New Roman" w:hAnsi="Times New Roman" w:cs="Times New Roman"/>
          <w:sz w:val="24"/>
        </w:rPr>
        <w:t>Department</w:t>
      </w:r>
      <w:proofErr w:type="gramEnd"/>
      <w:r w:rsidRPr="00221805">
        <w:rPr>
          <w:rFonts w:ascii="Times New Roman" w:hAnsi="Times New Roman" w:cs="Times New Roman"/>
          <w:sz w:val="24"/>
        </w:rPr>
        <w:t xml:space="preserve"> of Social Research, University of Helsinki, </w:t>
      </w:r>
      <w:r>
        <w:rPr>
          <w:rFonts w:ascii="Times New Roman" w:hAnsi="Times New Roman" w:cs="Times New Roman"/>
          <w:sz w:val="24"/>
        </w:rPr>
        <w:t xml:space="preserve">Helsinki, </w:t>
      </w:r>
      <w:r w:rsidRPr="00221805">
        <w:rPr>
          <w:rFonts w:ascii="Times New Roman" w:hAnsi="Times New Roman" w:cs="Times New Roman"/>
          <w:sz w:val="24"/>
        </w:rPr>
        <w:t>Finland</w:t>
      </w:r>
    </w:p>
    <w:p w:rsidR="00FC3917" w:rsidRPr="00221805" w:rsidRDefault="00FC3917" w:rsidP="00461457">
      <w:pPr>
        <w:spacing w:after="0" w:line="360" w:lineRule="auto"/>
        <w:rPr>
          <w:rFonts w:ascii="Times New Roman" w:hAnsi="Times New Roman" w:cs="Times New Roman"/>
          <w:sz w:val="24"/>
        </w:rPr>
      </w:pPr>
      <w:r>
        <w:rPr>
          <w:rFonts w:ascii="Times New Roman" w:hAnsi="Times New Roman" w:cs="Times New Roman"/>
          <w:sz w:val="24"/>
          <w:vertAlign w:val="superscript"/>
        </w:rPr>
        <w:t xml:space="preserve">6 </w:t>
      </w:r>
      <w:r>
        <w:rPr>
          <w:rFonts w:ascii="Times New Roman" w:hAnsi="Times New Roman" w:cs="Times New Roman"/>
          <w:sz w:val="24"/>
        </w:rPr>
        <w:t xml:space="preserve">SWPS </w:t>
      </w:r>
      <w:r w:rsidRPr="003A66F8">
        <w:rPr>
          <w:rFonts w:ascii="Times New Roman" w:hAnsi="Times New Roman" w:cs="Times New Roman"/>
          <w:sz w:val="24"/>
        </w:rPr>
        <w:t>University</w:t>
      </w:r>
      <w:r w:rsidRPr="00221805">
        <w:rPr>
          <w:rFonts w:ascii="Times New Roman" w:hAnsi="Times New Roman" w:cs="Times New Roman"/>
          <w:sz w:val="24"/>
        </w:rPr>
        <w:t xml:space="preserve"> of Social Sciences and Humanities, Faculty in Wroclaw, </w:t>
      </w:r>
      <w:r>
        <w:rPr>
          <w:rFonts w:ascii="Times New Roman" w:hAnsi="Times New Roman" w:cs="Times New Roman"/>
          <w:sz w:val="24"/>
        </w:rPr>
        <w:t xml:space="preserve">Wroclaw, </w:t>
      </w:r>
      <w:r w:rsidRPr="00221805">
        <w:rPr>
          <w:rFonts w:ascii="Times New Roman" w:hAnsi="Times New Roman" w:cs="Times New Roman"/>
          <w:sz w:val="24"/>
        </w:rPr>
        <w:t>Poland</w:t>
      </w:r>
    </w:p>
    <w:p w:rsidR="00FC3917" w:rsidRPr="006104E0" w:rsidRDefault="00FC3917" w:rsidP="00461457">
      <w:pPr>
        <w:spacing w:after="0" w:line="360" w:lineRule="auto"/>
        <w:rPr>
          <w:rFonts w:ascii="Times New Roman" w:hAnsi="Times New Roman" w:cs="Times New Roman"/>
          <w:sz w:val="24"/>
          <w:szCs w:val="24"/>
        </w:rPr>
      </w:pPr>
    </w:p>
    <w:p w:rsidR="00FC3917" w:rsidRDefault="00FC3917" w:rsidP="00461457">
      <w:pPr>
        <w:spacing w:after="0" w:line="360" w:lineRule="auto"/>
        <w:rPr>
          <w:rFonts w:ascii="Times New Roman" w:hAnsi="Times New Roman" w:cs="Times New Roman"/>
          <w:sz w:val="24"/>
          <w:szCs w:val="24"/>
        </w:rPr>
      </w:pPr>
    </w:p>
    <w:p w:rsidR="00FC3917" w:rsidRDefault="00FC3917" w:rsidP="00461457">
      <w:pPr>
        <w:spacing w:after="0" w:line="360" w:lineRule="auto"/>
        <w:rPr>
          <w:rFonts w:ascii="Times New Roman" w:hAnsi="Times New Roman" w:cs="Times New Roman"/>
          <w:sz w:val="24"/>
          <w:szCs w:val="24"/>
        </w:rPr>
      </w:pPr>
      <w:r w:rsidRPr="00C66A49">
        <w:rPr>
          <w:rFonts w:ascii="Times New Roman" w:hAnsi="Times New Roman" w:cs="Times New Roman"/>
          <w:sz w:val="24"/>
          <w:szCs w:val="24"/>
        </w:rPr>
        <w:t>*</w:t>
      </w:r>
      <w:r>
        <w:rPr>
          <w:rFonts w:ascii="Times New Roman" w:hAnsi="Times New Roman" w:cs="Times New Roman"/>
          <w:sz w:val="24"/>
          <w:szCs w:val="24"/>
        </w:rPr>
        <w:t xml:space="preserve"> Corresponding author: Dr Sharon Cruise, </w:t>
      </w:r>
      <w:r w:rsidRPr="00674298">
        <w:rPr>
          <w:rFonts w:ascii="Times New Roman" w:hAnsi="Times New Roman" w:cs="Times New Roman"/>
          <w:sz w:val="24"/>
          <w:szCs w:val="24"/>
        </w:rPr>
        <w:t xml:space="preserve">Centre for Public Health, Institute of Clinical Sciences Block B, Queen’s University Belfast, Royal Victoria Hospital, Grosvenor Road, Belfast, BT12 6BJ, Northern Ireland, United Kingdom. Email: </w:t>
      </w:r>
      <w:hyperlink r:id="rId8" w:history="1">
        <w:r w:rsidRPr="00674298">
          <w:rPr>
            <w:rStyle w:val="Hyperlink"/>
            <w:rFonts w:ascii="Times New Roman" w:hAnsi="Times New Roman" w:cs="Times New Roman"/>
            <w:sz w:val="24"/>
            <w:szCs w:val="24"/>
          </w:rPr>
          <w:t>s.cruise@qub.ac.uk</w:t>
        </w:r>
      </w:hyperlink>
      <w:r>
        <w:rPr>
          <w:rFonts w:ascii="Times New Roman" w:hAnsi="Times New Roman" w:cs="Times New Roman"/>
          <w:sz w:val="24"/>
          <w:szCs w:val="24"/>
        </w:rPr>
        <w:t xml:space="preserve">; </w:t>
      </w:r>
      <w:r w:rsidRPr="00674298">
        <w:rPr>
          <w:rFonts w:ascii="Times New Roman" w:hAnsi="Times New Roman" w:cs="Times New Roman"/>
          <w:sz w:val="24"/>
          <w:szCs w:val="24"/>
        </w:rPr>
        <w:t>P</w:t>
      </w:r>
      <w:r>
        <w:rPr>
          <w:rFonts w:ascii="Times New Roman" w:hAnsi="Times New Roman" w:cs="Times New Roman"/>
          <w:sz w:val="24"/>
          <w:szCs w:val="24"/>
        </w:rPr>
        <w:t>hone: 0044 (0)28 90971607</w:t>
      </w:r>
      <w:r w:rsidRPr="00674298">
        <w:rPr>
          <w:rFonts w:ascii="Times New Roman" w:hAnsi="Times New Roman" w:cs="Times New Roman"/>
          <w:sz w:val="24"/>
          <w:szCs w:val="24"/>
        </w:rPr>
        <w:t xml:space="preserve">; Fax: 0044 (0)28 </w:t>
      </w:r>
      <w:r w:rsidRPr="00674298">
        <w:rPr>
          <w:rFonts w:ascii="Times New Roman" w:hAnsi="Times New Roman" w:cs="Times New Roman"/>
          <w:sz w:val="24"/>
          <w:szCs w:val="24"/>
          <w:lang w:val="en-US"/>
        </w:rPr>
        <w:t>90235900</w:t>
      </w:r>
    </w:p>
    <w:p w:rsidR="00FC3917" w:rsidRDefault="00FC3917" w:rsidP="00461457">
      <w:pPr>
        <w:spacing w:after="0" w:line="360" w:lineRule="auto"/>
        <w:rPr>
          <w:rFonts w:ascii="Times New Roman" w:hAnsi="Times New Roman" w:cs="Times New Roman"/>
          <w:sz w:val="24"/>
          <w:szCs w:val="24"/>
        </w:rPr>
      </w:pPr>
    </w:p>
    <w:p w:rsidR="00FC3917" w:rsidRDefault="00FC3917" w:rsidP="00461457">
      <w:pPr>
        <w:spacing w:after="0" w:line="360" w:lineRule="auto"/>
        <w:rPr>
          <w:rFonts w:ascii="Times New Roman" w:hAnsi="Times New Roman" w:cs="Times New Roman"/>
          <w:sz w:val="24"/>
          <w:szCs w:val="24"/>
        </w:rPr>
      </w:pPr>
    </w:p>
    <w:p w:rsidR="00FC3917" w:rsidRPr="00EF5BC9" w:rsidRDefault="00FC3917" w:rsidP="00461457">
      <w:pPr>
        <w:spacing w:after="0" w:line="360" w:lineRule="auto"/>
        <w:rPr>
          <w:rFonts w:ascii="Times New Roman" w:hAnsi="Times New Roman" w:cs="Times New Roman"/>
          <w:b/>
          <w:sz w:val="28"/>
          <w:szCs w:val="28"/>
        </w:rPr>
      </w:pPr>
      <w:r w:rsidRPr="00EF5BC9">
        <w:rPr>
          <w:rFonts w:ascii="Times New Roman" w:hAnsi="Times New Roman" w:cs="Times New Roman"/>
          <w:b/>
          <w:sz w:val="28"/>
          <w:szCs w:val="28"/>
        </w:rPr>
        <w:t>Running head</w:t>
      </w:r>
    </w:p>
    <w:p w:rsidR="00FC3917" w:rsidRPr="00461457" w:rsidRDefault="00FC3917" w:rsidP="00461457">
      <w:pPr>
        <w:spacing w:after="0" w:line="360" w:lineRule="auto"/>
        <w:rPr>
          <w:rFonts w:ascii="Times New Roman" w:hAnsi="Times New Roman" w:cs="Times New Roman"/>
          <w:sz w:val="24"/>
          <w:szCs w:val="24"/>
        </w:rPr>
      </w:pPr>
      <w:r w:rsidRPr="00EF5BC9">
        <w:rPr>
          <w:rFonts w:ascii="Times New Roman" w:hAnsi="Times New Roman" w:cs="Times New Roman"/>
          <w:sz w:val="24"/>
          <w:szCs w:val="24"/>
        </w:rPr>
        <w:t>Impact of CHD risk factors on related disability</w:t>
      </w:r>
      <w:r w:rsidR="00461457">
        <w:rPr>
          <w:rFonts w:ascii="Times New Roman" w:hAnsi="Times New Roman" w:cs="Times New Roman"/>
          <w:sz w:val="24"/>
          <w:szCs w:val="24"/>
        </w:rPr>
        <w:t xml:space="preserve">   </w:t>
      </w:r>
      <w:r>
        <w:rPr>
          <w:rFonts w:ascii="Times New Roman" w:hAnsi="Times New Roman" w:cs="Times New Roman"/>
          <w:b/>
          <w:sz w:val="28"/>
          <w:szCs w:val="28"/>
        </w:rPr>
        <w:br w:type="page"/>
      </w:r>
    </w:p>
    <w:p w:rsidR="00EF5BC9" w:rsidRDefault="00EF5BC9" w:rsidP="00461457">
      <w:pPr>
        <w:spacing w:after="0" w:line="360" w:lineRule="auto"/>
        <w:jc w:val="center"/>
        <w:rPr>
          <w:rFonts w:ascii="Times New Roman" w:hAnsi="Times New Roman" w:cs="Times New Roman"/>
          <w:b/>
          <w:sz w:val="28"/>
          <w:szCs w:val="28"/>
        </w:rPr>
      </w:pPr>
      <w:r w:rsidRPr="00B0159C">
        <w:rPr>
          <w:rFonts w:ascii="Times New Roman" w:hAnsi="Times New Roman" w:cs="Times New Roman"/>
          <w:b/>
          <w:sz w:val="28"/>
          <w:szCs w:val="28"/>
        </w:rPr>
        <w:lastRenderedPageBreak/>
        <w:t>The impact of risk factors for coronary heart disease on related disability in older Irish adults</w:t>
      </w:r>
    </w:p>
    <w:p w:rsidR="006A5EAE" w:rsidRPr="006A5EAE" w:rsidRDefault="006A5EAE" w:rsidP="00461457">
      <w:pPr>
        <w:spacing w:after="0" w:line="360" w:lineRule="auto"/>
        <w:rPr>
          <w:rFonts w:ascii="Times New Roman" w:hAnsi="Times New Roman" w:cs="Times New Roman"/>
          <w:sz w:val="28"/>
          <w:szCs w:val="28"/>
        </w:rPr>
      </w:pPr>
    </w:p>
    <w:p w:rsidR="00310321" w:rsidRPr="008244C0" w:rsidRDefault="0079041A" w:rsidP="00461457">
      <w:pPr>
        <w:spacing w:after="0" w:line="360" w:lineRule="auto"/>
        <w:rPr>
          <w:rFonts w:ascii="Times New Roman" w:hAnsi="Times New Roman" w:cs="Times New Roman"/>
          <w:b/>
          <w:sz w:val="28"/>
          <w:szCs w:val="28"/>
        </w:rPr>
      </w:pPr>
      <w:r w:rsidRPr="008244C0">
        <w:rPr>
          <w:rFonts w:ascii="Times New Roman" w:hAnsi="Times New Roman" w:cs="Times New Roman"/>
          <w:b/>
          <w:sz w:val="28"/>
          <w:szCs w:val="28"/>
        </w:rPr>
        <w:t>Abstract</w:t>
      </w:r>
    </w:p>
    <w:p w:rsidR="008244C0" w:rsidRDefault="00EF5BC9" w:rsidP="00461457">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sidR="00A570CF" w:rsidRPr="008244C0">
        <w:rPr>
          <w:rFonts w:ascii="Times New Roman" w:hAnsi="Times New Roman" w:cs="Times New Roman"/>
          <w:b/>
          <w:sz w:val="24"/>
          <w:szCs w:val="24"/>
        </w:rPr>
        <w:t>:</w:t>
      </w:r>
      <w:r w:rsidR="00A570CF" w:rsidRPr="00A570CF">
        <w:rPr>
          <w:rFonts w:ascii="Times New Roman" w:hAnsi="Times New Roman" w:cs="Times New Roman"/>
          <w:sz w:val="24"/>
          <w:szCs w:val="24"/>
        </w:rPr>
        <w:t xml:space="preserve"> </w:t>
      </w:r>
      <w:r w:rsidR="0000395C">
        <w:rPr>
          <w:rFonts w:ascii="Times New Roman" w:hAnsi="Times New Roman" w:cs="Times New Roman"/>
          <w:sz w:val="24"/>
          <w:szCs w:val="24"/>
        </w:rPr>
        <w:t>T</w:t>
      </w:r>
      <w:r w:rsidR="00034598">
        <w:rPr>
          <w:rFonts w:ascii="Times New Roman" w:hAnsi="Times New Roman" w:cs="Times New Roman"/>
          <w:sz w:val="24"/>
          <w:szCs w:val="24"/>
        </w:rPr>
        <w:t>o examine</w:t>
      </w:r>
      <w:r w:rsidR="00A570CF" w:rsidRPr="00A570CF">
        <w:rPr>
          <w:rFonts w:ascii="Times New Roman" w:hAnsi="Times New Roman" w:cs="Times New Roman"/>
          <w:sz w:val="24"/>
          <w:szCs w:val="24"/>
        </w:rPr>
        <w:t xml:space="preserve"> the prevalence of CHD-related disabi</w:t>
      </w:r>
      <w:r w:rsidR="008034C0">
        <w:rPr>
          <w:rFonts w:ascii="Times New Roman" w:hAnsi="Times New Roman" w:cs="Times New Roman"/>
          <w:sz w:val="24"/>
          <w:szCs w:val="24"/>
        </w:rPr>
        <w:t>lity</w:t>
      </w:r>
      <w:r w:rsidR="00EA4607">
        <w:rPr>
          <w:rFonts w:ascii="Times New Roman" w:hAnsi="Times New Roman" w:cs="Times New Roman"/>
          <w:sz w:val="24"/>
          <w:szCs w:val="24"/>
        </w:rPr>
        <w:t xml:space="preserve"> (hereafter ‘disability’)</w:t>
      </w:r>
      <w:r w:rsidR="00E558F9">
        <w:rPr>
          <w:rFonts w:ascii="Times New Roman" w:hAnsi="Times New Roman" w:cs="Times New Roman"/>
          <w:sz w:val="24"/>
          <w:szCs w:val="24"/>
        </w:rPr>
        <w:t>,</w:t>
      </w:r>
      <w:r w:rsidR="007C5A4D">
        <w:rPr>
          <w:rFonts w:ascii="Times New Roman" w:hAnsi="Times New Roman" w:cs="Times New Roman"/>
          <w:sz w:val="24"/>
          <w:szCs w:val="24"/>
        </w:rPr>
        <w:t xml:space="preserve"> and </w:t>
      </w:r>
      <w:r w:rsidR="00EA4607">
        <w:rPr>
          <w:rFonts w:ascii="Times New Roman" w:hAnsi="Times New Roman" w:cs="Times New Roman"/>
          <w:sz w:val="24"/>
          <w:szCs w:val="24"/>
        </w:rPr>
        <w:t>the impact of</w:t>
      </w:r>
      <w:r w:rsidR="008034C0">
        <w:rPr>
          <w:rFonts w:ascii="Times New Roman" w:hAnsi="Times New Roman" w:cs="Times New Roman"/>
          <w:sz w:val="24"/>
          <w:szCs w:val="24"/>
        </w:rPr>
        <w:t xml:space="preserve"> CHD </w:t>
      </w:r>
      <w:r w:rsidR="003F3746">
        <w:rPr>
          <w:rFonts w:ascii="Times New Roman" w:hAnsi="Times New Roman" w:cs="Times New Roman"/>
          <w:sz w:val="24"/>
          <w:szCs w:val="24"/>
        </w:rPr>
        <w:t>risk fa</w:t>
      </w:r>
      <w:r w:rsidR="00EA4607">
        <w:rPr>
          <w:rFonts w:ascii="Times New Roman" w:hAnsi="Times New Roman" w:cs="Times New Roman"/>
          <w:sz w:val="24"/>
          <w:szCs w:val="24"/>
        </w:rPr>
        <w:t>ctors on</w:t>
      </w:r>
      <w:r w:rsidR="007C5A4D">
        <w:rPr>
          <w:rFonts w:ascii="Times New Roman" w:hAnsi="Times New Roman" w:cs="Times New Roman"/>
          <w:sz w:val="24"/>
          <w:szCs w:val="24"/>
        </w:rPr>
        <w:t xml:space="preserve"> disability</w:t>
      </w:r>
      <w:r w:rsidR="00A570CF" w:rsidRPr="00A570CF">
        <w:rPr>
          <w:rFonts w:ascii="Times New Roman" w:hAnsi="Times New Roman" w:cs="Times New Roman"/>
          <w:sz w:val="24"/>
          <w:szCs w:val="24"/>
        </w:rPr>
        <w:t xml:space="preserve"> </w:t>
      </w:r>
      <w:r w:rsidR="008034C0">
        <w:rPr>
          <w:rFonts w:ascii="Times New Roman" w:hAnsi="Times New Roman" w:cs="Times New Roman"/>
          <w:sz w:val="24"/>
          <w:szCs w:val="24"/>
        </w:rPr>
        <w:t xml:space="preserve">in </w:t>
      </w:r>
      <w:r w:rsidR="004A2BD7">
        <w:rPr>
          <w:rFonts w:ascii="Times New Roman" w:hAnsi="Times New Roman" w:cs="Times New Roman"/>
          <w:sz w:val="24"/>
          <w:szCs w:val="24"/>
        </w:rPr>
        <w:t xml:space="preserve">older </w:t>
      </w:r>
      <w:r w:rsidR="00EA4607">
        <w:rPr>
          <w:rFonts w:ascii="Times New Roman" w:hAnsi="Times New Roman" w:cs="Times New Roman"/>
          <w:sz w:val="24"/>
          <w:szCs w:val="24"/>
        </w:rPr>
        <w:t>adults</w:t>
      </w:r>
      <w:r w:rsidR="00E558F9">
        <w:rPr>
          <w:rFonts w:ascii="Times New Roman" w:hAnsi="Times New Roman" w:cs="Times New Roman"/>
          <w:sz w:val="24"/>
          <w:szCs w:val="24"/>
        </w:rPr>
        <w:t xml:space="preserve"> </w:t>
      </w:r>
      <w:r w:rsidR="00D41FC2">
        <w:rPr>
          <w:rFonts w:ascii="Times New Roman" w:hAnsi="Times New Roman" w:cs="Times New Roman"/>
          <w:sz w:val="24"/>
          <w:szCs w:val="24"/>
        </w:rPr>
        <w:t xml:space="preserve">in </w:t>
      </w:r>
      <w:r w:rsidR="008034C0">
        <w:rPr>
          <w:rFonts w:ascii="Times New Roman" w:hAnsi="Times New Roman" w:cs="Times New Roman"/>
          <w:sz w:val="24"/>
          <w:szCs w:val="24"/>
        </w:rPr>
        <w:t>the Republic of Ireland (</w:t>
      </w:r>
      <w:r w:rsidR="009340F6" w:rsidRPr="00A570CF">
        <w:rPr>
          <w:rFonts w:ascii="Times New Roman" w:hAnsi="Times New Roman" w:cs="Times New Roman"/>
          <w:sz w:val="24"/>
          <w:szCs w:val="24"/>
        </w:rPr>
        <w:t>ROI</w:t>
      </w:r>
      <w:r w:rsidR="008034C0">
        <w:rPr>
          <w:rFonts w:ascii="Times New Roman" w:hAnsi="Times New Roman" w:cs="Times New Roman"/>
          <w:sz w:val="24"/>
          <w:szCs w:val="24"/>
        </w:rPr>
        <w:t xml:space="preserve">) </w:t>
      </w:r>
      <w:r w:rsidR="004A2BD7">
        <w:rPr>
          <w:rFonts w:ascii="Times New Roman" w:hAnsi="Times New Roman" w:cs="Times New Roman"/>
          <w:sz w:val="24"/>
          <w:szCs w:val="24"/>
        </w:rPr>
        <w:t xml:space="preserve">and </w:t>
      </w:r>
      <w:r w:rsidR="008034C0">
        <w:rPr>
          <w:rFonts w:ascii="Times New Roman" w:hAnsi="Times New Roman" w:cs="Times New Roman"/>
          <w:sz w:val="24"/>
          <w:szCs w:val="24"/>
        </w:rPr>
        <w:t>Northern Ireland (</w:t>
      </w:r>
      <w:r w:rsidR="00D41FC2">
        <w:rPr>
          <w:rFonts w:ascii="Times New Roman" w:hAnsi="Times New Roman" w:cs="Times New Roman"/>
          <w:sz w:val="24"/>
          <w:szCs w:val="24"/>
        </w:rPr>
        <w:t>NI</w:t>
      </w:r>
      <w:r w:rsidR="008034C0">
        <w:rPr>
          <w:rFonts w:ascii="Times New Roman" w:hAnsi="Times New Roman" w:cs="Times New Roman"/>
          <w:sz w:val="24"/>
          <w:szCs w:val="24"/>
        </w:rPr>
        <w:t>)</w:t>
      </w:r>
      <w:r w:rsidR="00664C7A">
        <w:rPr>
          <w:rFonts w:ascii="Times New Roman" w:hAnsi="Times New Roman" w:cs="Times New Roman"/>
          <w:sz w:val="24"/>
          <w:szCs w:val="24"/>
        </w:rPr>
        <w:t>.</w:t>
      </w:r>
      <w:r w:rsidR="00A35301">
        <w:rPr>
          <w:rFonts w:ascii="Times New Roman" w:hAnsi="Times New Roman" w:cs="Times New Roman"/>
          <w:sz w:val="24"/>
          <w:szCs w:val="24"/>
        </w:rPr>
        <w:t xml:space="preserve">  </w:t>
      </w:r>
      <w:r w:rsidR="00B145D2">
        <w:rPr>
          <w:rFonts w:ascii="Times New Roman" w:hAnsi="Times New Roman" w:cs="Times New Roman"/>
          <w:b/>
          <w:sz w:val="24"/>
          <w:szCs w:val="24"/>
        </w:rPr>
        <w:t>Method</w:t>
      </w:r>
      <w:r w:rsidR="00A35301">
        <w:rPr>
          <w:rFonts w:ascii="Times New Roman" w:hAnsi="Times New Roman" w:cs="Times New Roman"/>
          <w:b/>
          <w:sz w:val="24"/>
          <w:szCs w:val="24"/>
        </w:rPr>
        <w:t>s</w:t>
      </w:r>
      <w:r w:rsidR="00034598" w:rsidRPr="008244C0">
        <w:rPr>
          <w:rFonts w:ascii="Times New Roman" w:hAnsi="Times New Roman" w:cs="Times New Roman"/>
          <w:b/>
          <w:sz w:val="24"/>
          <w:szCs w:val="24"/>
        </w:rPr>
        <w:t>:</w:t>
      </w:r>
      <w:r w:rsidR="00034598">
        <w:rPr>
          <w:rFonts w:ascii="Times New Roman" w:hAnsi="Times New Roman" w:cs="Times New Roman"/>
          <w:sz w:val="24"/>
          <w:szCs w:val="24"/>
        </w:rPr>
        <w:t xml:space="preserve"> </w:t>
      </w:r>
      <w:r w:rsidR="0000395C">
        <w:rPr>
          <w:rFonts w:ascii="Times New Roman" w:hAnsi="Times New Roman" w:cs="Times New Roman"/>
          <w:sz w:val="24"/>
          <w:szCs w:val="24"/>
          <w:lang w:val="en-US"/>
        </w:rPr>
        <w:t>Populatio</w:t>
      </w:r>
      <w:r w:rsidR="00EA4607">
        <w:rPr>
          <w:rFonts w:ascii="Times New Roman" w:hAnsi="Times New Roman" w:cs="Times New Roman"/>
          <w:sz w:val="24"/>
          <w:szCs w:val="24"/>
          <w:lang w:val="en-US"/>
        </w:rPr>
        <w:t xml:space="preserve">n </w:t>
      </w:r>
      <w:proofErr w:type="gramStart"/>
      <w:r w:rsidR="00EA4607">
        <w:rPr>
          <w:rFonts w:ascii="Times New Roman" w:hAnsi="Times New Roman" w:cs="Times New Roman"/>
          <w:sz w:val="24"/>
          <w:szCs w:val="24"/>
          <w:lang w:val="en-US"/>
        </w:rPr>
        <w:t>attributable</w:t>
      </w:r>
      <w:proofErr w:type="gramEnd"/>
      <w:r w:rsidR="00EA4607">
        <w:rPr>
          <w:rFonts w:ascii="Times New Roman" w:hAnsi="Times New Roman" w:cs="Times New Roman"/>
          <w:sz w:val="24"/>
          <w:szCs w:val="24"/>
          <w:lang w:val="en-US"/>
        </w:rPr>
        <w:t xml:space="preserve"> fractions </w:t>
      </w:r>
      <w:r w:rsidR="0000395C">
        <w:rPr>
          <w:rFonts w:ascii="Times New Roman" w:hAnsi="Times New Roman" w:cs="Times New Roman"/>
          <w:sz w:val="24"/>
          <w:szCs w:val="24"/>
          <w:lang w:val="en-US"/>
        </w:rPr>
        <w:t>were calculated using r</w:t>
      </w:r>
      <w:r w:rsidR="00E558F9">
        <w:rPr>
          <w:rFonts w:ascii="Times New Roman" w:hAnsi="Times New Roman" w:cs="Times New Roman"/>
          <w:sz w:val="24"/>
          <w:szCs w:val="24"/>
          <w:lang w:val="en-US"/>
        </w:rPr>
        <w:t xml:space="preserve">isk factor </w:t>
      </w:r>
      <w:r w:rsidR="00596DF0">
        <w:rPr>
          <w:rFonts w:ascii="Times New Roman" w:hAnsi="Times New Roman" w:cs="Times New Roman"/>
          <w:sz w:val="24"/>
          <w:szCs w:val="24"/>
          <w:lang w:val="en-US"/>
        </w:rPr>
        <w:t xml:space="preserve">relative risks </w:t>
      </w:r>
      <w:r w:rsidR="0000395C">
        <w:rPr>
          <w:rFonts w:ascii="Times New Roman" w:hAnsi="Times New Roman" w:cs="Times New Roman"/>
          <w:sz w:val="24"/>
          <w:szCs w:val="24"/>
          <w:lang w:val="en-US"/>
        </w:rPr>
        <w:t>and</w:t>
      </w:r>
      <w:r w:rsidR="00596DF0">
        <w:rPr>
          <w:rFonts w:ascii="Times New Roman" w:hAnsi="Times New Roman" w:cs="Times New Roman"/>
          <w:sz w:val="24"/>
          <w:szCs w:val="24"/>
          <w:lang w:val="en-US"/>
        </w:rPr>
        <w:t xml:space="preserve"> </w:t>
      </w:r>
      <w:r w:rsidR="00E558F9">
        <w:rPr>
          <w:rFonts w:ascii="Times New Roman" w:hAnsi="Times New Roman" w:cs="Times New Roman"/>
          <w:sz w:val="24"/>
          <w:szCs w:val="24"/>
          <w:lang w:val="en-US"/>
        </w:rPr>
        <w:t xml:space="preserve">disability </w:t>
      </w:r>
      <w:r w:rsidR="00596DF0">
        <w:rPr>
          <w:rFonts w:ascii="Times New Roman" w:hAnsi="Times New Roman" w:cs="Times New Roman"/>
          <w:sz w:val="24"/>
          <w:szCs w:val="24"/>
          <w:lang w:val="en-US"/>
        </w:rPr>
        <w:t>prevalence</w:t>
      </w:r>
      <w:r w:rsidR="004C4C6B" w:rsidRPr="004C4C6B">
        <w:rPr>
          <w:rFonts w:ascii="Times New Roman" w:hAnsi="Times New Roman" w:cs="Times New Roman"/>
          <w:sz w:val="24"/>
          <w:szCs w:val="24"/>
          <w:lang w:val="en-US"/>
        </w:rPr>
        <w:t xml:space="preserve"> </w:t>
      </w:r>
      <w:r w:rsidR="004C4C6B">
        <w:rPr>
          <w:rFonts w:ascii="Times New Roman" w:hAnsi="Times New Roman" w:cs="Times New Roman"/>
          <w:sz w:val="24"/>
          <w:szCs w:val="24"/>
          <w:lang w:val="en-US"/>
        </w:rPr>
        <w:t>derived from</w:t>
      </w:r>
      <w:r w:rsidR="004C4C6B" w:rsidRPr="00A570CF">
        <w:rPr>
          <w:rFonts w:ascii="Times New Roman" w:hAnsi="Times New Roman" w:cs="Times New Roman"/>
          <w:sz w:val="24"/>
          <w:szCs w:val="24"/>
          <w:lang w:val="en-US"/>
        </w:rPr>
        <w:t xml:space="preserve"> The Irish Longitudinal Study on Ageing</w:t>
      </w:r>
      <w:r w:rsidR="004C4C6B">
        <w:rPr>
          <w:rFonts w:ascii="Times New Roman" w:hAnsi="Times New Roman" w:cs="Times New Roman"/>
          <w:sz w:val="24"/>
          <w:szCs w:val="24"/>
        </w:rPr>
        <w:t xml:space="preserve"> and </w:t>
      </w:r>
      <w:r w:rsidR="004C4C6B" w:rsidRPr="00A570CF">
        <w:rPr>
          <w:rFonts w:ascii="Times New Roman" w:hAnsi="Times New Roman" w:cs="Times New Roman"/>
          <w:sz w:val="24"/>
          <w:szCs w:val="24"/>
        </w:rPr>
        <w:t xml:space="preserve">the Northern Ireland </w:t>
      </w:r>
      <w:r w:rsidR="004C4C6B">
        <w:rPr>
          <w:rFonts w:ascii="Times New Roman" w:hAnsi="Times New Roman" w:cs="Times New Roman"/>
          <w:sz w:val="24"/>
          <w:szCs w:val="24"/>
        </w:rPr>
        <w:t>Health Survey</w:t>
      </w:r>
      <w:r w:rsidR="00596DF0">
        <w:rPr>
          <w:rFonts w:ascii="Times New Roman" w:hAnsi="Times New Roman" w:cs="Times New Roman"/>
          <w:sz w:val="24"/>
          <w:szCs w:val="24"/>
          <w:lang w:val="en-US"/>
        </w:rPr>
        <w:t>.</w:t>
      </w:r>
      <w:r w:rsidR="00A35301">
        <w:rPr>
          <w:rFonts w:ascii="Times New Roman" w:hAnsi="Times New Roman" w:cs="Times New Roman"/>
          <w:sz w:val="24"/>
          <w:szCs w:val="24"/>
        </w:rPr>
        <w:t xml:space="preserve">  </w:t>
      </w:r>
      <w:r w:rsidR="00AF7950" w:rsidRPr="008244C0">
        <w:rPr>
          <w:rFonts w:ascii="Times New Roman" w:hAnsi="Times New Roman" w:cs="Times New Roman"/>
          <w:b/>
          <w:sz w:val="24"/>
          <w:szCs w:val="24"/>
        </w:rPr>
        <w:t>Results:</w:t>
      </w:r>
      <w:r w:rsidR="00AF7950">
        <w:rPr>
          <w:rFonts w:ascii="Times New Roman" w:hAnsi="Times New Roman" w:cs="Times New Roman"/>
          <w:sz w:val="24"/>
          <w:szCs w:val="24"/>
        </w:rPr>
        <w:t xml:space="preserve"> </w:t>
      </w:r>
      <w:r w:rsidR="00EA4607">
        <w:rPr>
          <w:rFonts w:ascii="Times New Roman" w:hAnsi="Times New Roman" w:cs="Times New Roman"/>
          <w:sz w:val="24"/>
          <w:szCs w:val="24"/>
        </w:rPr>
        <w:t>D</w:t>
      </w:r>
      <w:r w:rsidR="00A47F07" w:rsidRPr="00A47F07">
        <w:rPr>
          <w:rFonts w:ascii="Times New Roman" w:hAnsi="Times New Roman" w:cs="Times New Roman"/>
          <w:sz w:val="24"/>
          <w:szCs w:val="24"/>
        </w:rPr>
        <w:t>isability</w:t>
      </w:r>
      <w:r w:rsidR="004C4C6B">
        <w:rPr>
          <w:rFonts w:ascii="Times New Roman" w:hAnsi="Times New Roman" w:cs="Times New Roman"/>
          <w:sz w:val="24"/>
          <w:szCs w:val="24"/>
        </w:rPr>
        <w:t xml:space="preserve"> was significantly lower in ROI</w:t>
      </w:r>
      <w:r w:rsidR="00A47F07" w:rsidRPr="00A47F07">
        <w:rPr>
          <w:rFonts w:ascii="Times New Roman" w:hAnsi="Times New Roman" w:cs="Times New Roman"/>
          <w:sz w:val="24"/>
          <w:szCs w:val="24"/>
        </w:rPr>
        <w:t xml:space="preserve"> (4.1% vs 8.8%).  Smoking and diabetes </w:t>
      </w:r>
      <w:r w:rsidR="00EA4607">
        <w:rPr>
          <w:rFonts w:ascii="Times New Roman" w:hAnsi="Times New Roman" w:cs="Times New Roman"/>
          <w:sz w:val="24"/>
          <w:szCs w:val="24"/>
        </w:rPr>
        <w:t xml:space="preserve">prevalence </w:t>
      </w:r>
      <w:r w:rsidR="00A47F07" w:rsidRPr="00A47F07">
        <w:rPr>
          <w:rFonts w:ascii="Times New Roman" w:hAnsi="Times New Roman" w:cs="Times New Roman"/>
          <w:sz w:val="24"/>
          <w:szCs w:val="24"/>
        </w:rPr>
        <w:t>rates</w:t>
      </w:r>
      <w:r w:rsidR="004C4C6B">
        <w:rPr>
          <w:rFonts w:ascii="Times New Roman" w:hAnsi="Times New Roman" w:cs="Times New Roman"/>
          <w:sz w:val="24"/>
          <w:szCs w:val="24"/>
        </w:rPr>
        <w:t>, and</w:t>
      </w:r>
      <w:r w:rsidR="00A47F07" w:rsidRPr="00A47F07">
        <w:rPr>
          <w:rFonts w:ascii="Times New Roman" w:hAnsi="Times New Roman" w:cs="Times New Roman"/>
          <w:sz w:val="24"/>
          <w:szCs w:val="24"/>
        </w:rPr>
        <w:t xml:space="preserve"> </w:t>
      </w:r>
      <w:r w:rsidR="004C4C6B">
        <w:rPr>
          <w:rFonts w:ascii="Times New Roman" w:hAnsi="Times New Roman" w:cs="Times New Roman"/>
          <w:sz w:val="24"/>
          <w:szCs w:val="24"/>
        </w:rPr>
        <w:t>t</w:t>
      </w:r>
      <w:r w:rsidR="004C4C6B" w:rsidRPr="00A47F07">
        <w:rPr>
          <w:rFonts w:ascii="Times New Roman" w:hAnsi="Times New Roman" w:cs="Times New Roman"/>
          <w:sz w:val="24"/>
          <w:szCs w:val="24"/>
        </w:rPr>
        <w:t>he fraction of disability that could be attributed to smoking (ROI</w:t>
      </w:r>
      <w:proofErr w:type="gramStart"/>
      <w:r w:rsidR="004C4C6B" w:rsidRPr="00A47F07">
        <w:rPr>
          <w:rFonts w:ascii="Times New Roman" w:hAnsi="Times New Roman" w:cs="Times New Roman"/>
          <w:sz w:val="24"/>
          <w:szCs w:val="24"/>
        </w:rPr>
        <w:t>:6.6</w:t>
      </w:r>
      <w:proofErr w:type="gramEnd"/>
      <w:r w:rsidR="004C4C6B" w:rsidRPr="00A47F07">
        <w:rPr>
          <w:rFonts w:ascii="Times New Roman" w:hAnsi="Times New Roman" w:cs="Times New Roman"/>
          <w:sz w:val="24"/>
          <w:szCs w:val="24"/>
        </w:rPr>
        <w:t>%;NI:6.1%), obesity (ROI:13.8%;NI:11.3%), and diabetes (ROI:6.2%;NI:7.2%)</w:t>
      </w:r>
      <w:r w:rsidR="004C4C6B">
        <w:rPr>
          <w:rFonts w:ascii="Times New Roman" w:hAnsi="Times New Roman" w:cs="Times New Roman"/>
          <w:sz w:val="24"/>
          <w:szCs w:val="24"/>
        </w:rPr>
        <w:t xml:space="preserve">, </w:t>
      </w:r>
      <w:r w:rsidR="00A47F07" w:rsidRPr="00A47F07">
        <w:rPr>
          <w:rFonts w:ascii="Times New Roman" w:hAnsi="Times New Roman" w:cs="Times New Roman"/>
          <w:sz w:val="24"/>
          <w:szCs w:val="24"/>
        </w:rPr>
        <w:t>were compara</w:t>
      </w:r>
      <w:r w:rsidR="004C4C6B">
        <w:rPr>
          <w:rFonts w:ascii="Times New Roman" w:hAnsi="Times New Roman" w:cs="Times New Roman"/>
          <w:sz w:val="24"/>
          <w:szCs w:val="24"/>
        </w:rPr>
        <w:t xml:space="preserve">ble in both countries.  </w:t>
      </w:r>
      <w:r w:rsidR="00EA4607">
        <w:rPr>
          <w:rFonts w:ascii="Times New Roman" w:hAnsi="Times New Roman" w:cs="Times New Roman"/>
          <w:sz w:val="24"/>
          <w:szCs w:val="24"/>
        </w:rPr>
        <w:t>Physical inactivity (31.3% vs 54.8%) and depression (10.2% vs 17.6%)</w:t>
      </w:r>
      <w:r w:rsidR="00EA4607" w:rsidRPr="00A47F07">
        <w:rPr>
          <w:rFonts w:ascii="Times New Roman" w:hAnsi="Times New Roman" w:cs="Times New Roman"/>
          <w:sz w:val="24"/>
          <w:szCs w:val="24"/>
        </w:rPr>
        <w:t xml:space="preserve"> </w:t>
      </w:r>
      <w:r w:rsidR="00EA4607">
        <w:rPr>
          <w:rFonts w:ascii="Times New Roman" w:hAnsi="Times New Roman" w:cs="Times New Roman"/>
          <w:sz w:val="24"/>
          <w:szCs w:val="24"/>
        </w:rPr>
        <w:t xml:space="preserve">were lower in ROI. </w:t>
      </w:r>
      <w:r w:rsidR="00A47F07" w:rsidRPr="00A47F07">
        <w:rPr>
          <w:rFonts w:ascii="Times New Roman" w:hAnsi="Times New Roman" w:cs="Times New Roman"/>
          <w:sz w:val="24"/>
          <w:szCs w:val="24"/>
        </w:rPr>
        <w:t xml:space="preserve"> </w:t>
      </w:r>
      <w:r w:rsidR="00EA4607">
        <w:rPr>
          <w:rFonts w:ascii="Times New Roman" w:hAnsi="Times New Roman" w:cs="Times New Roman"/>
          <w:sz w:val="24"/>
          <w:szCs w:val="24"/>
        </w:rPr>
        <w:t>D</w:t>
      </w:r>
      <w:r w:rsidR="00A47F07" w:rsidRPr="00A47F07">
        <w:rPr>
          <w:rFonts w:ascii="Times New Roman" w:hAnsi="Times New Roman" w:cs="Times New Roman"/>
          <w:sz w:val="24"/>
          <w:szCs w:val="24"/>
        </w:rPr>
        <w:t>isability attributable to depression (ROI</w:t>
      </w:r>
      <w:proofErr w:type="gramStart"/>
      <w:r w:rsidR="00A47F07" w:rsidRPr="00A47F07">
        <w:rPr>
          <w:rFonts w:ascii="Times New Roman" w:hAnsi="Times New Roman" w:cs="Times New Roman"/>
          <w:sz w:val="24"/>
          <w:szCs w:val="24"/>
        </w:rPr>
        <w:t>:16.3</w:t>
      </w:r>
      <w:proofErr w:type="gramEnd"/>
      <w:r w:rsidR="00A47F07" w:rsidRPr="00A47F07">
        <w:rPr>
          <w:rFonts w:ascii="Times New Roman" w:hAnsi="Times New Roman" w:cs="Times New Roman"/>
          <w:sz w:val="24"/>
          <w:szCs w:val="24"/>
        </w:rPr>
        <w:t>%;NI:25.2%) and physical inactivity (ROI:27.5%;NI:39.9%) w</w:t>
      </w:r>
      <w:r w:rsidR="00EA4607">
        <w:rPr>
          <w:rFonts w:ascii="Times New Roman" w:hAnsi="Times New Roman" w:cs="Times New Roman"/>
          <w:sz w:val="24"/>
          <w:szCs w:val="24"/>
        </w:rPr>
        <w:t>as</w:t>
      </w:r>
      <w:r w:rsidR="00A47F07" w:rsidRPr="00A47F07">
        <w:rPr>
          <w:rFonts w:ascii="Times New Roman" w:hAnsi="Times New Roman" w:cs="Times New Roman"/>
          <w:sz w:val="24"/>
          <w:szCs w:val="24"/>
        </w:rPr>
        <w:t xml:space="preserve"> lower in ROI.</w:t>
      </w:r>
      <w:r w:rsidR="00A35301">
        <w:rPr>
          <w:rFonts w:ascii="Times New Roman" w:hAnsi="Times New Roman" w:cs="Times New Roman"/>
          <w:sz w:val="24"/>
          <w:szCs w:val="24"/>
        </w:rPr>
        <w:t xml:space="preserve">  </w:t>
      </w:r>
      <w:r>
        <w:rPr>
          <w:rFonts w:ascii="Times New Roman" w:hAnsi="Times New Roman" w:cs="Times New Roman"/>
          <w:b/>
          <w:sz w:val="24"/>
          <w:szCs w:val="24"/>
        </w:rPr>
        <w:t>Discussion</w:t>
      </w:r>
      <w:r w:rsidR="00A570CF" w:rsidRPr="008244C0">
        <w:rPr>
          <w:rFonts w:ascii="Times New Roman" w:hAnsi="Times New Roman" w:cs="Times New Roman"/>
          <w:b/>
          <w:sz w:val="24"/>
          <w:szCs w:val="24"/>
        </w:rPr>
        <w:t>:</w:t>
      </w:r>
      <w:r w:rsidR="00A570CF" w:rsidRPr="00A570CF">
        <w:rPr>
          <w:rFonts w:ascii="Times New Roman" w:hAnsi="Times New Roman" w:cs="Times New Roman"/>
          <w:sz w:val="24"/>
          <w:szCs w:val="24"/>
        </w:rPr>
        <w:t xml:space="preserve"> Country-specific similarities and differences in </w:t>
      </w:r>
      <w:r w:rsidR="00196F27">
        <w:rPr>
          <w:rFonts w:ascii="Times New Roman" w:hAnsi="Times New Roman" w:cs="Times New Roman"/>
          <w:sz w:val="24"/>
          <w:szCs w:val="24"/>
        </w:rPr>
        <w:t xml:space="preserve">the </w:t>
      </w:r>
      <w:r w:rsidR="00A570CF" w:rsidRPr="00A570CF">
        <w:rPr>
          <w:rFonts w:ascii="Times New Roman" w:hAnsi="Times New Roman" w:cs="Times New Roman"/>
          <w:sz w:val="24"/>
          <w:szCs w:val="24"/>
        </w:rPr>
        <w:t xml:space="preserve">prevalence of disability </w:t>
      </w:r>
      <w:r w:rsidR="00EA4607">
        <w:rPr>
          <w:rFonts w:ascii="Times New Roman" w:hAnsi="Times New Roman" w:cs="Times New Roman"/>
          <w:sz w:val="24"/>
          <w:szCs w:val="24"/>
        </w:rPr>
        <w:t>and associated risk factors</w:t>
      </w:r>
      <w:r w:rsidR="00A570CF" w:rsidRPr="00A570CF">
        <w:rPr>
          <w:rFonts w:ascii="Times New Roman" w:hAnsi="Times New Roman" w:cs="Times New Roman"/>
          <w:sz w:val="24"/>
          <w:szCs w:val="24"/>
        </w:rPr>
        <w:t xml:space="preserve"> </w:t>
      </w:r>
      <w:r w:rsidR="00EA4607">
        <w:rPr>
          <w:rFonts w:ascii="Times New Roman" w:hAnsi="Times New Roman" w:cs="Times New Roman"/>
          <w:sz w:val="24"/>
          <w:szCs w:val="24"/>
        </w:rPr>
        <w:t>will</w:t>
      </w:r>
      <w:r w:rsidR="00A570CF" w:rsidRPr="00A570CF">
        <w:rPr>
          <w:rFonts w:ascii="Times New Roman" w:hAnsi="Times New Roman" w:cs="Times New Roman"/>
          <w:sz w:val="24"/>
          <w:szCs w:val="24"/>
        </w:rPr>
        <w:t xml:space="preserve"> inform public health and social care policy</w:t>
      </w:r>
      <w:r w:rsidR="00EA4607">
        <w:rPr>
          <w:rFonts w:ascii="Times New Roman" w:hAnsi="Times New Roman" w:cs="Times New Roman"/>
          <w:sz w:val="24"/>
          <w:szCs w:val="24"/>
        </w:rPr>
        <w:t xml:space="preserve"> in both countries</w:t>
      </w:r>
      <w:r w:rsidR="00D10B1A">
        <w:rPr>
          <w:rFonts w:ascii="Times New Roman" w:hAnsi="Times New Roman" w:cs="Times New Roman"/>
          <w:sz w:val="24"/>
          <w:szCs w:val="24"/>
        </w:rPr>
        <w:t>.</w:t>
      </w:r>
    </w:p>
    <w:p w:rsidR="008244C0" w:rsidRDefault="008244C0" w:rsidP="00461457">
      <w:pPr>
        <w:spacing w:after="0" w:line="360" w:lineRule="auto"/>
        <w:rPr>
          <w:rFonts w:ascii="Times New Roman" w:hAnsi="Times New Roman" w:cs="Times New Roman"/>
          <w:sz w:val="24"/>
          <w:szCs w:val="24"/>
        </w:rPr>
      </w:pPr>
    </w:p>
    <w:p w:rsidR="00A47F07" w:rsidRDefault="00A47F07" w:rsidP="00461457">
      <w:pPr>
        <w:spacing w:after="0" w:line="360" w:lineRule="auto"/>
        <w:rPr>
          <w:rFonts w:ascii="Times New Roman" w:hAnsi="Times New Roman" w:cs="Times New Roman"/>
          <w:sz w:val="24"/>
          <w:szCs w:val="24"/>
        </w:rPr>
      </w:pPr>
    </w:p>
    <w:p w:rsidR="00A47F07" w:rsidRDefault="008244C0" w:rsidP="00461457">
      <w:pPr>
        <w:spacing w:after="0" w:line="360" w:lineRule="auto"/>
        <w:rPr>
          <w:rFonts w:ascii="Times New Roman" w:hAnsi="Times New Roman" w:cs="Times New Roman"/>
          <w:sz w:val="24"/>
          <w:szCs w:val="24"/>
        </w:rPr>
      </w:pPr>
      <w:r w:rsidRPr="008244C0">
        <w:rPr>
          <w:rFonts w:ascii="Times New Roman" w:hAnsi="Times New Roman" w:cs="Times New Roman"/>
          <w:b/>
          <w:sz w:val="24"/>
          <w:szCs w:val="24"/>
        </w:rPr>
        <w:t>Keywords:</w:t>
      </w:r>
      <w:r>
        <w:rPr>
          <w:rFonts w:ascii="Times New Roman" w:hAnsi="Times New Roman" w:cs="Times New Roman"/>
          <w:sz w:val="24"/>
          <w:szCs w:val="24"/>
        </w:rPr>
        <w:t xml:space="preserve"> coronary heart disease, disability, risk factors, relative risk, population attributable fractions (PAFs)</w:t>
      </w:r>
    </w:p>
    <w:p w:rsidR="00A47F07" w:rsidRDefault="00A47F07" w:rsidP="00461457">
      <w:pPr>
        <w:spacing w:after="0" w:line="360" w:lineRule="auto"/>
        <w:rPr>
          <w:rFonts w:ascii="Times New Roman" w:hAnsi="Times New Roman" w:cs="Times New Roman"/>
          <w:sz w:val="24"/>
          <w:szCs w:val="24"/>
        </w:rPr>
      </w:pPr>
    </w:p>
    <w:p w:rsidR="00E558F9" w:rsidRPr="00963259" w:rsidRDefault="00E558F9" w:rsidP="00461457">
      <w:pPr>
        <w:spacing w:after="0" w:line="360" w:lineRule="auto"/>
        <w:rPr>
          <w:rFonts w:ascii="Times New Roman" w:hAnsi="Times New Roman" w:cs="Times New Roman"/>
          <w:b/>
          <w:sz w:val="24"/>
          <w:szCs w:val="24"/>
        </w:rPr>
      </w:pPr>
      <w:r>
        <w:rPr>
          <w:rFonts w:ascii="Times New Roman" w:hAnsi="Times New Roman" w:cs="Times New Roman"/>
          <w:i/>
          <w:sz w:val="24"/>
          <w:szCs w:val="24"/>
          <w:lang w:val="en-GB"/>
        </w:rPr>
        <w:br w:type="page"/>
      </w:r>
    </w:p>
    <w:p w:rsidR="00EF5BC9" w:rsidRDefault="00EF5BC9" w:rsidP="00461457">
      <w:pPr>
        <w:spacing w:after="0" w:line="360" w:lineRule="auto"/>
        <w:jc w:val="center"/>
        <w:rPr>
          <w:rFonts w:ascii="Times New Roman" w:hAnsi="Times New Roman" w:cs="Times New Roman"/>
          <w:b/>
          <w:sz w:val="28"/>
          <w:szCs w:val="28"/>
        </w:rPr>
      </w:pPr>
      <w:r w:rsidRPr="00B0159C">
        <w:rPr>
          <w:rFonts w:ascii="Times New Roman" w:hAnsi="Times New Roman" w:cs="Times New Roman"/>
          <w:b/>
          <w:sz w:val="28"/>
          <w:szCs w:val="28"/>
        </w:rPr>
        <w:t>The impact of risk factors for coronary heart disease on related disability in older Irish adults</w:t>
      </w:r>
    </w:p>
    <w:p w:rsidR="00EF5BC9" w:rsidRPr="00ED15CE" w:rsidRDefault="00EF5BC9" w:rsidP="00461457">
      <w:pPr>
        <w:spacing w:after="0" w:line="360" w:lineRule="auto"/>
        <w:rPr>
          <w:rFonts w:ascii="Times New Roman" w:hAnsi="Times New Roman" w:cs="Times New Roman"/>
          <w:sz w:val="24"/>
          <w:szCs w:val="24"/>
        </w:rPr>
      </w:pPr>
    </w:p>
    <w:p w:rsidR="00E62283" w:rsidRPr="008477B2" w:rsidRDefault="00A35301" w:rsidP="00461457">
      <w:pPr>
        <w:spacing w:after="0" w:line="360" w:lineRule="auto"/>
        <w:rPr>
          <w:rFonts w:ascii="Times New Roman" w:hAnsi="Times New Roman" w:cs="Times New Roman"/>
          <w:b/>
          <w:sz w:val="28"/>
          <w:szCs w:val="28"/>
        </w:rPr>
      </w:pPr>
      <w:r>
        <w:rPr>
          <w:rFonts w:ascii="Times New Roman" w:hAnsi="Times New Roman" w:cs="Times New Roman"/>
          <w:b/>
          <w:sz w:val="28"/>
          <w:szCs w:val="28"/>
        </w:rPr>
        <w:t>Introduction</w:t>
      </w:r>
    </w:p>
    <w:p w:rsidR="00FC6F67" w:rsidRDefault="005A0B6C" w:rsidP="004614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island of </w:t>
      </w:r>
      <w:r w:rsidR="00E62283" w:rsidRPr="00F5673F">
        <w:rPr>
          <w:rFonts w:ascii="Times New Roman" w:hAnsi="Times New Roman" w:cs="Times New Roman"/>
          <w:sz w:val="24"/>
          <w:szCs w:val="24"/>
          <w:lang w:val="en-US"/>
        </w:rPr>
        <w:t xml:space="preserve">Ireland has seen a decline in mortality </w:t>
      </w:r>
      <w:r w:rsidR="00E62283">
        <w:rPr>
          <w:rFonts w:ascii="Times New Roman" w:hAnsi="Times New Roman" w:cs="Times New Roman"/>
          <w:sz w:val="24"/>
          <w:szCs w:val="24"/>
          <w:lang w:val="en-US"/>
        </w:rPr>
        <w:t>from</w:t>
      </w:r>
      <w:r w:rsidR="00E62283" w:rsidRPr="00F5673F">
        <w:rPr>
          <w:rFonts w:ascii="Times New Roman" w:hAnsi="Times New Roman" w:cs="Times New Roman"/>
          <w:sz w:val="24"/>
          <w:szCs w:val="24"/>
          <w:lang w:val="en-US"/>
        </w:rPr>
        <w:t xml:space="preserve"> coronary heart disease (CHD)</w:t>
      </w:r>
      <w:r w:rsidR="007A68CA">
        <w:rPr>
          <w:rFonts w:ascii="Times New Roman" w:hAnsi="Times New Roman" w:cs="Times New Roman"/>
          <w:sz w:val="24"/>
          <w:szCs w:val="24"/>
          <w:lang w:val="en-US"/>
        </w:rPr>
        <w:t xml:space="preserve"> </w:t>
      </w:r>
      <w:r w:rsidR="007A68CA" w:rsidRPr="004E62A0">
        <w:rPr>
          <w:rFonts w:ascii="Times New Roman" w:hAnsi="Times New Roman" w:cs="Times New Roman"/>
          <w:sz w:val="24"/>
          <w:szCs w:val="24"/>
          <w:lang w:val="en-US"/>
        </w:rPr>
        <w:t>(Bennett</w:t>
      </w:r>
      <w:r w:rsidR="00226076" w:rsidRPr="004E62A0">
        <w:rPr>
          <w:rFonts w:ascii="Times New Roman" w:hAnsi="Times New Roman" w:cs="Times New Roman"/>
          <w:sz w:val="24"/>
          <w:szCs w:val="24"/>
          <w:lang w:val="en-US"/>
        </w:rPr>
        <w:t xml:space="preserve"> </w:t>
      </w:r>
      <w:r w:rsidR="007A68CA" w:rsidRPr="004E62A0">
        <w:rPr>
          <w:rFonts w:ascii="Times New Roman" w:hAnsi="Times New Roman" w:cs="Times New Roman"/>
          <w:sz w:val="24"/>
          <w:szCs w:val="24"/>
          <w:lang w:val="en-US"/>
        </w:rPr>
        <w:t xml:space="preserve">et al., 2006; </w:t>
      </w:r>
      <w:r w:rsidR="007A68CA" w:rsidRPr="004E62A0">
        <w:rPr>
          <w:rFonts w:ascii="Times New Roman" w:hAnsi="Times New Roman" w:cs="Times New Roman"/>
          <w:sz w:val="24"/>
          <w:szCs w:val="24"/>
        </w:rPr>
        <w:t xml:space="preserve">Bennett, Hughes, Jennings, </w:t>
      </w:r>
      <w:r w:rsidR="00226076" w:rsidRPr="004E62A0">
        <w:rPr>
          <w:rFonts w:ascii="Times New Roman" w:hAnsi="Times New Roman" w:cs="Times New Roman"/>
          <w:sz w:val="24"/>
          <w:szCs w:val="24"/>
        </w:rPr>
        <w:t>Kee, &amp; Shelley</w:t>
      </w:r>
      <w:r w:rsidR="007A68CA" w:rsidRPr="004E62A0">
        <w:rPr>
          <w:rFonts w:ascii="Times New Roman" w:hAnsi="Times New Roman" w:cs="Times New Roman"/>
          <w:sz w:val="24"/>
          <w:szCs w:val="24"/>
        </w:rPr>
        <w:t>, 2013)</w:t>
      </w:r>
      <w:r w:rsidR="009740CE" w:rsidRPr="004E62A0">
        <w:rPr>
          <w:rFonts w:ascii="Times New Roman" w:hAnsi="Times New Roman" w:cs="Times New Roman"/>
          <w:sz w:val="24"/>
          <w:szCs w:val="24"/>
          <w:lang w:val="en-US"/>
        </w:rPr>
        <w:t>;</w:t>
      </w:r>
      <w:r w:rsidR="007A68CA" w:rsidRPr="004E62A0">
        <w:rPr>
          <w:rFonts w:ascii="Times New Roman" w:hAnsi="Times New Roman" w:cs="Times New Roman"/>
          <w:sz w:val="24"/>
          <w:szCs w:val="24"/>
          <w:lang w:val="en-US"/>
        </w:rPr>
        <w:t xml:space="preserve"> </w:t>
      </w:r>
      <w:r w:rsidR="00F62249" w:rsidRPr="004E62A0">
        <w:rPr>
          <w:rFonts w:ascii="Times New Roman" w:hAnsi="Times New Roman" w:cs="Times New Roman"/>
          <w:sz w:val="24"/>
          <w:szCs w:val="24"/>
          <w:lang w:val="en-US"/>
        </w:rPr>
        <w:t>however,</w:t>
      </w:r>
      <w:r w:rsidR="00E62283" w:rsidRPr="004E62A0">
        <w:rPr>
          <w:rFonts w:ascii="Times New Roman" w:hAnsi="Times New Roman" w:cs="Times New Roman"/>
          <w:sz w:val="24"/>
          <w:szCs w:val="24"/>
          <w:lang w:val="en-US"/>
        </w:rPr>
        <w:t xml:space="preserve"> Irish CHD</w:t>
      </w:r>
      <w:r w:rsidR="00E62283" w:rsidRPr="00F5673F">
        <w:rPr>
          <w:rFonts w:ascii="Times New Roman" w:hAnsi="Times New Roman" w:cs="Times New Roman"/>
          <w:sz w:val="24"/>
          <w:szCs w:val="24"/>
          <w:lang w:val="en-US"/>
        </w:rPr>
        <w:t xml:space="preserve"> mortal</w:t>
      </w:r>
      <w:bookmarkStart w:id="0" w:name="_GoBack"/>
      <w:bookmarkEnd w:id="0"/>
      <w:r w:rsidR="00E62283" w:rsidRPr="00F5673F">
        <w:rPr>
          <w:rFonts w:ascii="Times New Roman" w:hAnsi="Times New Roman" w:cs="Times New Roman"/>
          <w:sz w:val="24"/>
          <w:szCs w:val="24"/>
          <w:lang w:val="en-US"/>
        </w:rPr>
        <w:t xml:space="preserve">ity rates are </w:t>
      </w:r>
      <w:r w:rsidR="00E62283">
        <w:rPr>
          <w:rFonts w:ascii="Times New Roman" w:hAnsi="Times New Roman" w:cs="Times New Roman"/>
          <w:sz w:val="24"/>
          <w:szCs w:val="24"/>
          <w:lang w:val="en-US"/>
        </w:rPr>
        <w:t xml:space="preserve">still </w:t>
      </w:r>
      <w:r w:rsidR="00E62283" w:rsidRPr="00F5673F">
        <w:rPr>
          <w:rFonts w:ascii="Times New Roman" w:hAnsi="Times New Roman" w:cs="Times New Roman"/>
          <w:sz w:val="24"/>
          <w:szCs w:val="24"/>
          <w:lang w:val="en-US"/>
        </w:rPr>
        <w:t>among</w:t>
      </w:r>
      <w:r w:rsidR="00F56231">
        <w:rPr>
          <w:rFonts w:ascii="Times New Roman" w:hAnsi="Times New Roman" w:cs="Times New Roman"/>
          <w:sz w:val="24"/>
          <w:szCs w:val="24"/>
          <w:lang w:val="en-US"/>
        </w:rPr>
        <w:t>st</w:t>
      </w:r>
      <w:r w:rsidR="00E62283" w:rsidRPr="00F5673F">
        <w:rPr>
          <w:rFonts w:ascii="Times New Roman" w:hAnsi="Times New Roman" w:cs="Times New Roman"/>
          <w:sz w:val="24"/>
          <w:szCs w:val="24"/>
          <w:lang w:val="en-US"/>
        </w:rPr>
        <w:t xml:space="preserve"> the highest in Europe</w:t>
      </w:r>
      <w:r w:rsidR="007A68CA">
        <w:rPr>
          <w:rFonts w:ascii="Times New Roman" w:hAnsi="Times New Roman" w:cs="Times New Roman"/>
          <w:sz w:val="24"/>
          <w:szCs w:val="24"/>
          <w:lang w:val="en-US"/>
        </w:rPr>
        <w:t xml:space="preserve"> (Bennett et al., 2006; </w:t>
      </w:r>
      <w:r w:rsidR="007A68CA" w:rsidRPr="00CD26A7">
        <w:rPr>
          <w:rFonts w:ascii="Times New Roman" w:hAnsi="Times New Roman" w:cs="Times New Roman"/>
          <w:sz w:val="24"/>
          <w:szCs w:val="24"/>
        </w:rPr>
        <w:t>European Health for All</w:t>
      </w:r>
      <w:r w:rsidR="00FC6F67">
        <w:rPr>
          <w:rFonts w:ascii="Times New Roman" w:hAnsi="Times New Roman" w:cs="Times New Roman"/>
          <w:sz w:val="24"/>
          <w:szCs w:val="24"/>
        </w:rPr>
        <w:t>; Levi et al., 2009</w:t>
      </w:r>
      <w:r w:rsidR="007A68CA">
        <w:rPr>
          <w:rFonts w:ascii="Times New Roman" w:hAnsi="Times New Roman" w:cs="Times New Roman"/>
          <w:sz w:val="24"/>
          <w:szCs w:val="24"/>
        </w:rPr>
        <w:t>)</w:t>
      </w:r>
      <w:r w:rsidR="00F568CE">
        <w:rPr>
          <w:rFonts w:ascii="Times New Roman" w:hAnsi="Times New Roman" w:cs="Times New Roman"/>
          <w:sz w:val="24"/>
          <w:szCs w:val="24"/>
        </w:rPr>
        <w:t>.</w:t>
      </w:r>
      <w:r w:rsidR="00196F27">
        <w:rPr>
          <w:rFonts w:ascii="Times New Roman" w:hAnsi="Times New Roman" w:cs="Times New Roman"/>
          <w:sz w:val="24"/>
          <w:szCs w:val="24"/>
          <w:lang w:val="en-US"/>
        </w:rPr>
        <w:t xml:space="preserve">  </w:t>
      </w:r>
      <w:r w:rsidR="004C0333">
        <w:rPr>
          <w:rFonts w:ascii="Times New Roman" w:hAnsi="Times New Roman" w:cs="Times New Roman"/>
          <w:sz w:val="24"/>
          <w:szCs w:val="24"/>
          <w:lang w:val="en-US"/>
        </w:rPr>
        <w:t>A recent report forecast</w:t>
      </w:r>
      <w:r w:rsidR="002B3450">
        <w:rPr>
          <w:rFonts w:ascii="Times New Roman" w:hAnsi="Times New Roman" w:cs="Times New Roman"/>
          <w:sz w:val="24"/>
          <w:szCs w:val="24"/>
          <w:lang w:val="en-US"/>
        </w:rPr>
        <w:t>s</w:t>
      </w:r>
      <w:r w:rsidR="004C0333">
        <w:rPr>
          <w:rFonts w:ascii="Times New Roman" w:hAnsi="Times New Roman" w:cs="Times New Roman"/>
          <w:sz w:val="24"/>
          <w:szCs w:val="24"/>
          <w:lang w:val="en-US"/>
        </w:rPr>
        <w:t xml:space="preserve"> increases of 50% </w:t>
      </w:r>
      <w:r>
        <w:rPr>
          <w:rFonts w:ascii="Times New Roman" w:hAnsi="Times New Roman" w:cs="Times New Roman"/>
          <w:sz w:val="24"/>
          <w:szCs w:val="24"/>
          <w:lang w:val="en-US"/>
        </w:rPr>
        <w:t xml:space="preserve">for the Republic of Ireland (ROI) </w:t>
      </w:r>
      <w:r w:rsidR="004C0333">
        <w:rPr>
          <w:rFonts w:ascii="Times New Roman" w:hAnsi="Times New Roman" w:cs="Times New Roman"/>
          <w:sz w:val="24"/>
          <w:szCs w:val="24"/>
          <w:lang w:val="en-US"/>
        </w:rPr>
        <w:t xml:space="preserve">and 30% </w:t>
      </w:r>
      <w:r>
        <w:rPr>
          <w:rFonts w:ascii="Times New Roman" w:hAnsi="Times New Roman" w:cs="Times New Roman"/>
          <w:sz w:val="24"/>
          <w:szCs w:val="24"/>
          <w:lang w:val="en-US"/>
        </w:rPr>
        <w:t>for Northern Ireland (</w:t>
      </w:r>
      <w:r w:rsidR="00F568CE">
        <w:rPr>
          <w:rFonts w:ascii="Times New Roman" w:hAnsi="Times New Roman" w:cs="Times New Roman"/>
          <w:sz w:val="24"/>
          <w:szCs w:val="24"/>
          <w:lang w:val="en-US"/>
        </w:rPr>
        <w:t xml:space="preserve">NI) </w:t>
      </w:r>
      <w:r w:rsidR="004C0333">
        <w:rPr>
          <w:rFonts w:ascii="Times New Roman" w:hAnsi="Times New Roman" w:cs="Times New Roman"/>
          <w:sz w:val="24"/>
          <w:szCs w:val="24"/>
          <w:lang w:val="en-US"/>
        </w:rPr>
        <w:t>b</w:t>
      </w:r>
      <w:r w:rsidR="00196F27">
        <w:rPr>
          <w:rFonts w:ascii="Times New Roman" w:hAnsi="Times New Roman" w:cs="Times New Roman"/>
          <w:sz w:val="24"/>
          <w:szCs w:val="24"/>
          <w:lang w:val="en-US"/>
        </w:rPr>
        <w:t>etween the years 2</w:t>
      </w:r>
      <w:r w:rsidR="00F568CE">
        <w:rPr>
          <w:rFonts w:ascii="Times New Roman" w:hAnsi="Times New Roman" w:cs="Times New Roman"/>
          <w:sz w:val="24"/>
          <w:szCs w:val="24"/>
          <w:lang w:val="en-US"/>
        </w:rPr>
        <w:t>007 and 2020</w:t>
      </w:r>
      <w:r w:rsidR="004C0333">
        <w:rPr>
          <w:rFonts w:ascii="Times New Roman" w:hAnsi="Times New Roman" w:cs="Times New Roman"/>
          <w:sz w:val="24"/>
          <w:szCs w:val="24"/>
          <w:lang w:val="en-US"/>
        </w:rPr>
        <w:t xml:space="preserve"> </w:t>
      </w:r>
      <w:r w:rsidR="00E62283">
        <w:rPr>
          <w:rFonts w:ascii="Times New Roman" w:hAnsi="Times New Roman" w:cs="Times New Roman"/>
          <w:sz w:val="24"/>
          <w:szCs w:val="24"/>
          <w:lang w:val="en-US"/>
        </w:rPr>
        <w:t>in the</w:t>
      </w:r>
      <w:r w:rsidR="00E62283" w:rsidRPr="00CA1F00">
        <w:rPr>
          <w:rFonts w:ascii="Times New Roman" w:hAnsi="Times New Roman" w:cs="Times New Roman"/>
          <w:sz w:val="24"/>
          <w:szCs w:val="24"/>
          <w:lang w:val="en-US"/>
        </w:rPr>
        <w:t xml:space="preserve"> numbers of adults </w:t>
      </w:r>
      <w:r w:rsidR="00E62283" w:rsidRPr="004E62A0">
        <w:rPr>
          <w:rFonts w:ascii="Times New Roman" w:hAnsi="Times New Roman" w:cs="Times New Roman"/>
          <w:sz w:val="24"/>
          <w:szCs w:val="24"/>
          <w:lang w:val="en-US"/>
        </w:rPr>
        <w:t>who will ever have CHD</w:t>
      </w:r>
      <w:r w:rsidR="007A68CA" w:rsidRPr="004E62A0">
        <w:rPr>
          <w:rFonts w:ascii="Times New Roman" w:hAnsi="Times New Roman" w:cs="Times New Roman"/>
          <w:sz w:val="24"/>
          <w:szCs w:val="24"/>
          <w:lang w:val="en-US"/>
        </w:rPr>
        <w:t xml:space="preserve"> (</w:t>
      </w:r>
      <w:proofErr w:type="spellStart"/>
      <w:r w:rsidR="007A68CA" w:rsidRPr="004E62A0">
        <w:rPr>
          <w:rFonts w:ascii="Times New Roman" w:hAnsi="Times New Roman" w:cs="Times New Roman"/>
          <w:sz w:val="24"/>
          <w:szCs w:val="24"/>
          <w:lang w:val="en-US"/>
        </w:rPr>
        <w:t>Balanda</w:t>
      </w:r>
      <w:proofErr w:type="spellEnd"/>
      <w:r w:rsidR="007A68CA" w:rsidRPr="004E62A0">
        <w:rPr>
          <w:rFonts w:ascii="Times New Roman" w:hAnsi="Times New Roman" w:cs="Times New Roman"/>
          <w:sz w:val="24"/>
          <w:szCs w:val="24"/>
          <w:lang w:val="en-US"/>
        </w:rPr>
        <w:t xml:space="preserve">, Barron, </w:t>
      </w:r>
      <w:proofErr w:type="spellStart"/>
      <w:r w:rsidR="007A68CA" w:rsidRPr="004E62A0">
        <w:rPr>
          <w:rFonts w:ascii="Times New Roman" w:hAnsi="Times New Roman" w:cs="Times New Roman"/>
          <w:sz w:val="24"/>
          <w:szCs w:val="24"/>
          <w:lang w:val="en-US"/>
        </w:rPr>
        <w:t>Fahy</w:t>
      </w:r>
      <w:proofErr w:type="spellEnd"/>
      <w:r w:rsidR="007A68CA" w:rsidRPr="004E62A0">
        <w:rPr>
          <w:rFonts w:ascii="Times New Roman" w:hAnsi="Times New Roman" w:cs="Times New Roman"/>
          <w:sz w:val="24"/>
          <w:szCs w:val="24"/>
          <w:lang w:val="en-US"/>
        </w:rPr>
        <w:t xml:space="preserve">, </w:t>
      </w:r>
      <w:r w:rsidR="00226076" w:rsidRPr="004E62A0">
        <w:rPr>
          <w:rFonts w:ascii="Times New Roman" w:hAnsi="Times New Roman" w:cs="Times New Roman"/>
          <w:sz w:val="24"/>
          <w:szCs w:val="24"/>
          <w:lang w:val="en-US"/>
        </w:rPr>
        <w:t>&amp; McLaughlin</w:t>
      </w:r>
      <w:r w:rsidR="007A68CA" w:rsidRPr="004E62A0">
        <w:rPr>
          <w:rFonts w:ascii="Times New Roman" w:hAnsi="Times New Roman" w:cs="Times New Roman"/>
          <w:sz w:val="24"/>
          <w:szCs w:val="24"/>
          <w:lang w:val="en-US"/>
        </w:rPr>
        <w:t>, 2010)</w:t>
      </w:r>
      <w:r w:rsidR="00E62283" w:rsidRPr="004E62A0">
        <w:rPr>
          <w:rFonts w:ascii="Times New Roman" w:hAnsi="Times New Roman" w:cs="Times New Roman"/>
          <w:sz w:val="24"/>
          <w:szCs w:val="24"/>
          <w:lang w:val="en-US"/>
        </w:rPr>
        <w:t>.</w:t>
      </w:r>
      <w:r w:rsidR="00C2182F" w:rsidRPr="004E62A0">
        <w:rPr>
          <w:rFonts w:ascii="Times New Roman" w:hAnsi="Times New Roman" w:cs="Times New Roman"/>
          <w:sz w:val="24"/>
          <w:szCs w:val="24"/>
          <w:lang w:val="en-US"/>
        </w:rPr>
        <w:t xml:space="preserve">  </w:t>
      </w:r>
      <w:r w:rsidR="004C0333" w:rsidRPr="004E62A0">
        <w:rPr>
          <w:rFonts w:ascii="Times New Roman" w:hAnsi="Times New Roman" w:cs="Times New Roman"/>
          <w:sz w:val="24"/>
          <w:szCs w:val="24"/>
          <w:lang w:val="en-US"/>
        </w:rPr>
        <w:t>These</w:t>
      </w:r>
      <w:r w:rsidR="004C0333">
        <w:rPr>
          <w:rFonts w:ascii="Times New Roman" w:hAnsi="Times New Roman" w:cs="Times New Roman"/>
          <w:sz w:val="24"/>
          <w:szCs w:val="24"/>
          <w:lang w:val="en-US"/>
        </w:rPr>
        <w:t xml:space="preserve"> increases in CHD are t</w:t>
      </w:r>
      <w:r w:rsidR="008002DC">
        <w:rPr>
          <w:rFonts w:ascii="Times New Roman" w:hAnsi="Times New Roman" w:cs="Times New Roman"/>
          <w:sz w:val="24"/>
          <w:szCs w:val="24"/>
          <w:lang w:val="en-US"/>
        </w:rPr>
        <w:t>hought to be a result of both</w:t>
      </w:r>
      <w:r w:rsidR="004C0333">
        <w:rPr>
          <w:rFonts w:ascii="Times New Roman" w:hAnsi="Times New Roman" w:cs="Times New Roman"/>
          <w:sz w:val="24"/>
          <w:szCs w:val="24"/>
          <w:lang w:val="en-US"/>
        </w:rPr>
        <w:t xml:space="preserve"> increasing </w:t>
      </w:r>
      <w:r w:rsidR="008002DC">
        <w:rPr>
          <w:rFonts w:ascii="Times New Roman" w:hAnsi="Times New Roman" w:cs="Times New Roman"/>
          <w:sz w:val="24"/>
          <w:szCs w:val="24"/>
          <w:lang w:val="en-US"/>
        </w:rPr>
        <w:t>populations (in terms of general population growth) and larger proportions of those populations who are in older age groups</w:t>
      </w:r>
      <w:r w:rsidR="004C0333">
        <w:rPr>
          <w:rFonts w:ascii="Times New Roman" w:hAnsi="Times New Roman" w:cs="Times New Roman"/>
          <w:sz w:val="24"/>
          <w:szCs w:val="24"/>
          <w:lang w:val="en-US"/>
        </w:rPr>
        <w:t xml:space="preserve">. </w:t>
      </w:r>
      <w:r w:rsidR="008002DC">
        <w:rPr>
          <w:rFonts w:ascii="Times New Roman" w:hAnsi="Times New Roman" w:cs="Times New Roman"/>
          <w:sz w:val="24"/>
          <w:szCs w:val="24"/>
          <w:lang w:val="en-US"/>
        </w:rPr>
        <w:t xml:space="preserve"> </w:t>
      </w:r>
      <w:r w:rsidR="004C0333">
        <w:rPr>
          <w:rFonts w:ascii="Times New Roman" w:hAnsi="Times New Roman" w:cs="Times New Roman"/>
          <w:sz w:val="24"/>
          <w:szCs w:val="24"/>
          <w:lang w:val="en-US"/>
        </w:rPr>
        <w:t xml:space="preserve">As </w:t>
      </w:r>
      <w:r w:rsidR="007C0FB3">
        <w:rPr>
          <w:rFonts w:ascii="Times New Roman" w:hAnsi="Times New Roman" w:cs="Times New Roman"/>
          <w:sz w:val="24"/>
          <w:szCs w:val="24"/>
          <w:lang w:val="en-US"/>
        </w:rPr>
        <w:t xml:space="preserve">CHD is </w:t>
      </w:r>
      <w:r w:rsidR="00E62283" w:rsidRPr="00F5673F">
        <w:rPr>
          <w:rFonts w:ascii="Times New Roman" w:hAnsi="Times New Roman" w:cs="Times New Roman"/>
          <w:sz w:val="24"/>
          <w:szCs w:val="24"/>
          <w:lang w:val="en-US"/>
        </w:rPr>
        <w:t xml:space="preserve">one of the leading causes of disability in </w:t>
      </w:r>
      <w:r w:rsidR="006D052A">
        <w:rPr>
          <w:rFonts w:ascii="Times New Roman" w:hAnsi="Times New Roman" w:cs="Times New Roman"/>
          <w:sz w:val="24"/>
          <w:szCs w:val="24"/>
          <w:lang w:val="en-US"/>
        </w:rPr>
        <w:t>older adults</w:t>
      </w:r>
      <w:r w:rsidR="007A68CA">
        <w:rPr>
          <w:rFonts w:ascii="Times New Roman" w:hAnsi="Times New Roman" w:cs="Times New Roman"/>
          <w:sz w:val="24"/>
          <w:szCs w:val="24"/>
          <w:lang w:val="en-US"/>
        </w:rPr>
        <w:t xml:space="preserve"> (</w:t>
      </w:r>
      <w:proofErr w:type="spellStart"/>
      <w:r w:rsidR="007A68CA" w:rsidRPr="008F6A50">
        <w:rPr>
          <w:rFonts w:ascii="Times New Roman" w:hAnsi="Times New Roman" w:cs="Times New Roman"/>
          <w:sz w:val="24"/>
          <w:szCs w:val="24"/>
        </w:rPr>
        <w:t>Ebrahim</w:t>
      </w:r>
      <w:proofErr w:type="spellEnd"/>
      <w:r w:rsidR="007A68CA">
        <w:rPr>
          <w:rFonts w:ascii="Times New Roman" w:hAnsi="Times New Roman" w:cs="Times New Roman"/>
          <w:sz w:val="24"/>
          <w:szCs w:val="24"/>
        </w:rPr>
        <w:t xml:space="preserve">, </w:t>
      </w:r>
      <w:proofErr w:type="spellStart"/>
      <w:r w:rsidR="007A68CA" w:rsidRPr="004E62A0">
        <w:rPr>
          <w:rFonts w:ascii="Times New Roman" w:hAnsi="Times New Roman" w:cs="Times New Roman"/>
          <w:sz w:val="24"/>
          <w:szCs w:val="24"/>
        </w:rPr>
        <w:t>Wannamethee</w:t>
      </w:r>
      <w:proofErr w:type="spellEnd"/>
      <w:r w:rsidR="007A68CA" w:rsidRPr="004E62A0">
        <w:rPr>
          <w:rFonts w:ascii="Times New Roman" w:hAnsi="Times New Roman" w:cs="Times New Roman"/>
          <w:sz w:val="24"/>
          <w:szCs w:val="24"/>
        </w:rPr>
        <w:t xml:space="preserve">, </w:t>
      </w:r>
      <w:proofErr w:type="spellStart"/>
      <w:r w:rsidR="007A68CA" w:rsidRPr="004E62A0">
        <w:rPr>
          <w:rFonts w:ascii="Times New Roman" w:hAnsi="Times New Roman" w:cs="Times New Roman"/>
          <w:sz w:val="24"/>
          <w:szCs w:val="24"/>
        </w:rPr>
        <w:t>Whincup</w:t>
      </w:r>
      <w:proofErr w:type="spellEnd"/>
      <w:r w:rsidR="007A68CA" w:rsidRPr="004E62A0">
        <w:rPr>
          <w:rFonts w:ascii="Times New Roman" w:hAnsi="Times New Roman" w:cs="Times New Roman"/>
          <w:sz w:val="24"/>
          <w:szCs w:val="24"/>
        </w:rPr>
        <w:t xml:space="preserve">, </w:t>
      </w:r>
      <w:r w:rsidR="00226076" w:rsidRPr="004E62A0">
        <w:rPr>
          <w:rFonts w:ascii="Times New Roman" w:hAnsi="Times New Roman" w:cs="Times New Roman"/>
          <w:sz w:val="24"/>
          <w:szCs w:val="24"/>
        </w:rPr>
        <w:t>Walker, &amp; Shaper</w:t>
      </w:r>
      <w:r w:rsidR="007A68CA" w:rsidRPr="004E62A0">
        <w:rPr>
          <w:rFonts w:ascii="Times New Roman" w:hAnsi="Times New Roman" w:cs="Times New Roman"/>
          <w:sz w:val="24"/>
          <w:szCs w:val="24"/>
        </w:rPr>
        <w:t xml:space="preserve">, 2000; Adamson, </w:t>
      </w:r>
      <w:proofErr w:type="spellStart"/>
      <w:r w:rsidR="007A68CA" w:rsidRPr="004E62A0">
        <w:rPr>
          <w:rFonts w:ascii="Times New Roman" w:hAnsi="Times New Roman" w:cs="Times New Roman"/>
          <w:sz w:val="24"/>
          <w:szCs w:val="24"/>
        </w:rPr>
        <w:t>Lawlor</w:t>
      </w:r>
      <w:proofErr w:type="spellEnd"/>
      <w:r w:rsidR="007A68CA" w:rsidRPr="004E62A0">
        <w:rPr>
          <w:rFonts w:ascii="Times New Roman" w:hAnsi="Times New Roman" w:cs="Times New Roman"/>
          <w:sz w:val="24"/>
          <w:szCs w:val="24"/>
        </w:rPr>
        <w:t xml:space="preserve">, &amp; </w:t>
      </w:r>
      <w:proofErr w:type="spellStart"/>
      <w:r w:rsidR="007A68CA" w:rsidRPr="004E62A0">
        <w:rPr>
          <w:rFonts w:ascii="Times New Roman" w:hAnsi="Times New Roman" w:cs="Times New Roman"/>
          <w:sz w:val="24"/>
          <w:szCs w:val="24"/>
        </w:rPr>
        <w:t>Ebrahim</w:t>
      </w:r>
      <w:proofErr w:type="spellEnd"/>
      <w:r w:rsidR="007A68CA" w:rsidRPr="004E62A0">
        <w:rPr>
          <w:rFonts w:ascii="Times New Roman" w:hAnsi="Times New Roman" w:cs="Times New Roman"/>
          <w:sz w:val="24"/>
          <w:szCs w:val="24"/>
        </w:rPr>
        <w:t>, 2004;</w:t>
      </w:r>
      <w:r w:rsidR="007A68CA">
        <w:rPr>
          <w:rFonts w:ascii="Times New Roman" w:hAnsi="Times New Roman" w:cs="Times New Roman"/>
          <w:sz w:val="24"/>
          <w:szCs w:val="24"/>
        </w:rPr>
        <w:t xml:space="preserve"> </w:t>
      </w:r>
      <w:proofErr w:type="spellStart"/>
      <w:r w:rsidR="007A68CA" w:rsidRPr="008E70EC">
        <w:rPr>
          <w:rFonts w:ascii="Times New Roman" w:hAnsi="Times New Roman" w:cs="Times New Roman"/>
          <w:sz w:val="24"/>
          <w:szCs w:val="24"/>
        </w:rPr>
        <w:t>Oldri</w:t>
      </w:r>
      <w:r w:rsidR="007A68CA">
        <w:rPr>
          <w:rFonts w:ascii="Times New Roman" w:hAnsi="Times New Roman" w:cs="Times New Roman"/>
          <w:sz w:val="24"/>
          <w:szCs w:val="24"/>
        </w:rPr>
        <w:t>dge</w:t>
      </w:r>
      <w:proofErr w:type="spellEnd"/>
      <w:r w:rsidR="007A68CA">
        <w:rPr>
          <w:rFonts w:ascii="Times New Roman" w:hAnsi="Times New Roman" w:cs="Times New Roman"/>
          <w:sz w:val="24"/>
          <w:szCs w:val="24"/>
        </w:rPr>
        <w:t xml:space="preserve"> &amp; Stump, 2004)</w:t>
      </w:r>
      <w:r w:rsidR="007C0FB3">
        <w:rPr>
          <w:rFonts w:ascii="Times New Roman" w:hAnsi="Times New Roman" w:cs="Times New Roman"/>
          <w:sz w:val="24"/>
          <w:szCs w:val="24"/>
          <w:lang w:val="en-US"/>
        </w:rPr>
        <w:t>,</w:t>
      </w:r>
      <w:r w:rsidR="004C0333">
        <w:rPr>
          <w:rFonts w:ascii="Times New Roman" w:hAnsi="Times New Roman" w:cs="Times New Roman"/>
          <w:sz w:val="24"/>
          <w:szCs w:val="24"/>
          <w:lang w:val="en-US"/>
        </w:rPr>
        <w:t xml:space="preserve"> increasing prevalence of CHD </w:t>
      </w:r>
      <w:r w:rsidR="00E62283" w:rsidRPr="003C185E">
        <w:rPr>
          <w:rFonts w:ascii="Times New Roman" w:hAnsi="Times New Roman" w:cs="Times New Roman"/>
          <w:sz w:val="24"/>
          <w:szCs w:val="24"/>
          <w:lang w:val="en-US"/>
        </w:rPr>
        <w:t>represents</w:t>
      </w:r>
      <w:r w:rsidR="004A2BD7">
        <w:rPr>
          <w:rFonts w:ascii="Times New Roman" w:hAnsi="Times New Roman" w:cs="Times New Roman"/>
          <w:sz w:val="24"/>
          <w:szCs w:val="24"/>
          <w:lang w:val="en-US"/>
        </w:rPr>
        <w:t xml:space="preserve"> a key</w:t>
      </w:r>
      <w:r w:rsidR="006D052A">
        <w:rPr>
          <w:rFonts w:ascii="Times New Roman" w:hAnsi="Times New Roman" w:cs="Times New Roman"/>
          <w:sz w:val="24"/>
          <w:szCs w:val="24"/>
          <w:lang w:val="en-US"/>
        </w:rPr>
        <w:t xml:space="preserve"> </w:t>
      </w:r>
      <w:r w:rsidR="00E62283" w:rsidRPr="003C185E">
        <w:rPr>
          <w:rFonts w:ascii="Times New Roman" w:hAnsi="Times New Roman" w:cs="Times New Roman"/>
          <w:sz w:val="24"/>
          <w:szCs w:val="24"/>
          <w:lang w:val="en-US"/>
        </w:rPr>
        <w:t>issue for public health and for health and social care services</w:t>
      </w:r>
      <w:r w:rsidR="008002DC">
        <w:rPr>
          <w:rFonts w:ascii="Times New Roman" w:hAnsi="Times New Roman" w:cs="Times New Roman"/>
          <w:sz w:val="24"/>
          <w:szCs w:val="24"/>
          <w:lang w:val="en-US"/>
        </w:rPr>
        <w:t xml:space="preserve"> in a climate of limited health care resources</w:t>
      </w:r>
      <w:r w:rsidR="00FC6F67">
        <w:rPr>
          <w:rFonts w:ascii="Times New Roman" w:hAnsi="Times New Roman" w:cs="Times New Roman"/>
          <w:sz w:val="24"/>
          <w:szCs w:val="24"/>
          <w:lang w:val="en-US"/>
        </w:rPr>
        <w:t>.</w:t>
      </w:r>
    </w:p>
    <w:p w:rsidR="00FC6F67" w:rsidRDefault="00FC6F67" w:rsidP="00461457">
      <w:pPr>
        <w:spacing w:after="0" w:line="360" w:lineRule="auto"/>
        <w:rPr>
          <w:rFonts w:ascii="Times New Roman" w:hAnsi="Times New Roman" w:cs="Times New Roman"/>
          <w:sz w:val="24"/>
          <w:szCs w:val="24"/>
          <w:lang w:val="en-US"/>
        </w:rPr>
      </w:pPr>
    </w:p>
    <w:p w:rsidR="00FC6F67" w:rsidRPr="00B813A4" w:rsidRDefault="00FC6F67" w:rsidP="00461457">
      <w:pPr>
        <w:spacing w:after="0" w:line="360" w:lineRule="auto"/>
        <w:rPr>
          <w:rFonts w:ascii="Times New Roman" w:hAnsi="Times New Roman" w:cs="Times New Roman"/>
          <w:i/>
          <w:sz w:val="24"/>
          <w:szCs w:val="24"/>
          <w:lang w:val="en-US"/>
        </w:rPr>
      </w:pPr>
      <w:r w:rsidRPr="00B813A4">
        <w:rPr>
          <w:rFonts w:ascii="Times New Roman" w:hAnsi="Times New Roman" w:cs="Times New Roman"/>
          <w:i/>
          <w:sz w:val="24"/>
          <w:szCs w:val="24"/>
          <w:lang w:val="en-US"/>
        </w:rPr>
        <w:t>One island, two healthcare systems</w:t>
      </w:r>
    </w:p>
    <w:p w:rsidR="00234B22" w:rsidRPr="00506FCB" w:rsidRDefault="00FC6F67"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The island of Ireland p</w:t>
      </w:r>
      <w:r w:rsidR="009559FE">
        <w:rPr>
          <w:rFonts w:ascii="Times New Roman" w:hAnsi="Times New Roman" w:cs="Times New Roman"/>
          <w:sz w:val="24"/>
          <w:szCs w:val="24"/>
          <w:lang w:val="en-US"/>
        </w:rPr>
        <w:t xml:space="preserve">resents a unique </w:t>
      </w:r>
      <w:r>
        <w:rPr>
          <w:rFonts w:ascii="Times New Roman" w:hAnsi="Times New Roman" w:cs="Times New Roman"/>
          <w:sz w:val="24"/>
          <w:szCs w:val="24"/>
          <w:lang w:val="en-US"/>
        </w:rPr>
        <w:t>opportunity to examine differentials in CHD prevalence</w:t>
      </w:r>
      <w:r w:rsidR="00B813A4">
        <w:rPr>
          <w:rFonts w:ascii="Times New Roman" w:hAnsi="Times New Roman" w:cs="Times New Roman"/>
          <w:sz w:val="24"/>
          <w:szCs w:val="24"/>
          <w:lang w:val="en-US"/>
        </w:rPr>
        <w:t xml:space="preserve"> and CHD-related disability.  The</w:t>
      </w:r>
      <w:r>
        <w:rPr>
          <w:rFonts w:ascii="Times New Roman" w:hAnsi="Times New Roman" w:cs="Times New Roman"/>
          <w:sz w:val="24"/>
          <w:szCs w:val="24"/>
          <w:lang w:val="en-US"/>
        </w:rPr>
        <w:t xml:space="preserve"> one </w:t>
      </w:r>
      <w:r w:rsidR="00B813A4">
        <w:rPr>
          <w:rFonts w:ascii="Times New Roman" w:hAnsi="Times New Roman" w:cs="Times New Roman"/>
          <w:sz w:val="24"/>
          <w:szCs w:val="24"/>
          <w:lang w:val="en-US"/>
        </w:rPr>
        <w:t>island</w:t>
      </w:r>
      <w:r w:rsidR="009559FE">
        <w:rPr>
          <w:rFonts w:ascii="Times New Roman" w:hAnsi="Times New Roman" w:cs="Times New Roman"/>
          <w:sz w:val="24"/>
          <w:szCs w:val="24"/>
          <w:lang w:val="en-US"/>
        </w:rPr>
        <w:t xml:space="preserve"> </w:t>
      </w:r>
      <w:r w:rsidR="00B813A4">
        <w:rPr>
          <w:rFonts w:ascii="Times New Roman" w:hAnsi="Times New Roman" w:cs="Times New Roman"/>
          <w:sz w:val="24"/>
          <w:szCs w:val="24"/>
          <w:lang w:val="en-US"/>
        </w:rPr>
        <w:t>incorporates two countries,</w:t>
      </w:r>
      <w:r w:rsidR="009559FE">
        <w:rPr>
          <w:rFonts w:ascii="Times New Roman" w:hAnsi="Times New Roman" w:cs="Times New Roman"/>
          <w:sz w:val="24"/>
          <w:szCs w:val="24"/>
          <w:lang w:val="en-US"/>
        </w:rPr>
        <w:t xml:space="preserve"> the Republic of Ireland (ROI) and Northern Ireland (NI) (the latter being</w:t>
      </w:r>
      <w:r w:rsidR="00B813A4">
        <w:rPr>
          <w:rFonts w:ascii="Times New Roman" w:hAnsi="Times New Roman" w:cs="Times New Roman"/>
          <w:sz w:val="24"/>
          <w:szCs w:val="24"/>
          <w:lang w:val="en-US"/>
        </w:rPr>
        <w:t xml:space="preserve"> a part of the United Kingdom), and although</w:t>
      </w:r>
      <w:r w:rsidR="009559FE">
        <w:rPr>
          <w:rFonts w:ascii="Times New Roman" w:hAnsi="Times New Roman" w:cs="Times New Roman"/>
          <w:sz w:val="24"/>
          <w:szCs w:val="24"/>
          <w:lang w:val="en-US"/>
        </w:rPr>
        <w:t xml:space="preserve"> the </w:t>
      </w:r>
      <w:r w:rsidR="00B813A4">
        <w:rPr>
          <w:rFonts w:ascii="Times New Roman" w:hAnsi="Times New Roman" w:cs="Times New Roman"/>
          <w:sz w:val="24"/>
          <w:szCs w:val="24"/>
          <w:lang w:val="en-US"/>
        </w:rPr>
        <w:t>two population</w:t>
      </w:r>
      <w:r w:rsidR="00BC53DF">
        <w:rPr>
          <w:rFonts w:ascii="Times New Roman" w:hAnsi="Times New Roman" w:cs="Times New Roman"/>
          <w:sz w:val="24"/>
          <w:szCs w:val="24"/>
          <w:lang w:val="en-US"/>
        </w:rPr>
        <w:t xml:space="preserve">s are </w:t>
      </w:r>
      <w:r w:rsidR="00B813A4">
        <w:rPr>
          <w:rFonts w:ascii="Times New Roman" w:hAnsi="Times New Roman" w:cs="Times New Roman"/>
          <w:sz w:val="24"/>
          <w:szCs w:val="24"/>
          <w:lang w:val="en-US"/>
        </w:rPr>
        <w:t>similar</w:t>
      </w:r>
      <w:r>
        <w:rPr>
          <w:rFonts w:ascii="Times New Roman" w:hAnsi="Times New Roman" w:cs="Times New Roman"/>
          <w:sz w:val="24"/>
          <w:szCs w:val="24"/>
          <w:lang w:val="en-US"/>
        </w:rPr>
        <w:t xml:space="preserve"> in terms of </w:t>
      </w:r>
      <w:r w:rsidR="009559FE">
        <w:rPr>
          <w:rFonts w:ascii="Times New Roman" w:hAnsi="Times New Roman" w:cs="Times New Roman"/>
          <w:sz w:val="24"/>
          <w:szCs w:val="24"/>
          <w:lang w:val="en-US"/>
        </w:rPr>
        <w:t xml:space="preserve">ethnic and cultural background, </w:t>
      </w:r>
      <w:r>
        <w:rPr>
          <w:rFonts w:ascii="Times New Roman" w:hAnsi="Times New Roman" w:cs="Times New Roman"/>
          <w:sz w:val="24"/>
          <w:szCs w:val="24"/>
          <w:lang w:val="en-US"/>
        </w:rPr>
        <w:t>diet</w:t>
      </w:r>
      <w:r w:rsidR="009559FE">
        <w:rPr>
          <w:rFonts w:ascii="Times New Roman" w:hAnsi="Times New Roman" w:cs="Times New Roman"/>
          <w:sz w:val="24"/>
          <w:szCs w:val="24"/>
          <w:lang w:val="en-US"/>
        </w:rPr>
        <w:t>, and lifestyle</w:t>
      </w:r>
      <w:r w:rsidR="00B813A4">
        <w:rPr>
          <w:rFonts w:ascii="Times New Roman" w:hAnsi="Times New Roman" w:cs="Times New Roman"/>
          <w:sz w:val="24"/>
          <w:szCs w:val="24"/>
          <w:lang w:val="en-US"/>
        </w:rPr>
        <w:t xml:space="preserve">, </w:t>
      </w:r>
      <w:r w:rsidR="009559FE">
        <w:rPr>
          <w:rFonts w:ascii="Times New Roman" w:hAnsi="Times New Roman" w:cs="Times New Roman"/>
          <w:sz w:val="24"/>
          <w:szCs w:val="24"/>
          <w:lang w:val="en-US"/>
        </w:rPr>
        <w:t>each country has an</w:t>
      </w:r>
      <w:r>
        <w:rPr>
          <w:rFonts w:ascii="Times New Roman" w:hAnsi="Times New Roman" w:cs="Times New Roman"/>
          <w:sz w:val="24"/>
          <w:szCs w:val="24"/>
          <w:lang w:val="en-US"/>
        </w:rPr>
        <w:t xml:space="preserve"> independent health and social ca</w:t>
      </w:r>
      <w:r w:rsidR="009559FE">
        <w:rPr>
          <w:rFonts w:ascii="Times New Roman" w:hAnsi="Times New Roman" w:cs="Times New Roman"/>
          <w:sz w:val="24"/>
          <w:szCs w:val="24"/>
          <w:lang w:val="en-US"/>
        </w:rPr>
        <w:t>re system: the ROI</w:t>
      </w:r>
      <w:r>
        <w:rPr>
          <w:rFonts w:ascii="Times New Roman" w:hAnsi="Times New Roman" w:cs="Times New Roman"/>
          <w:sz w:val="24"/>
          <w:szCs w:val="24"/>
          <w:lang w:val="en-US"/>
        </w:rPr>
        <w:t xml:space="preserve">’s is largely </w:t>
      </w:r>
      <w:r w:rsidR="00B813A4">
        <w:rPr>
          <w:rFonts w:ascii="Times New Roman" w:hAnsi="Times New Roman" w:cs="Times New Roman"/>
          <w:sz w:val="24"/>
          <w:szCs w:val="24"/>
          <w:lang w:val="en-US"/>
        </w:rPr>
        <w:t xml:space="preserve">health </w:t>
      </w:r>
      <w:r>
        <w:rPr>
          <w:rFonts w:ascii="Times New Roman" w:hAnsi="Times New Roman" w:cs="Times New Roman"/>
          <w:sz w:val="24"/>
          <w:szCs w:val="24"/>
          <w:lang w:val="en-US"/>
        </w:rPr>
        <w:t>insurance-based</w:t>
      </w:r>
      <w:r w:rsidR="00BF08FD">
        <w:rPr>
          <w:rFonts w:ascii="Times New Roman" w:hAnsi="Times New Roman" w:cs="Times New Roman"/>
          <w:sz w:val="24"/>
          <w:szCs w:val="24"/>
          <w:lang w:val="en-US"/>
        </w:rPr>
        <w:t xml:space="preserve">, but in some instances is a combination of public </w:t>
      </w:r>
      <w:r w:rsidR="00BC53DF">
        <w:rPr>
          <w:rFonts w:ascii="Times New Roman" w:hAnsi="Times New Roman" w:cs="Times New Roman"/>
          <w:sz w:val="24"/>
          <w:szCs w:val="24"/>
          <w:lang w:val="en-US"/>
        </w:rPr>
        <w:t>and private health services;</w:t>
      </w:r>
      <w:r>
        <w:rPr>
          <w:rFonts w:ascii="Times New Roman" w:hAnsi="Times New Roman" w:cs="Times New Roman"/>
          <w:sz w:val="24"/>
          <w:szCs w:val="24"/>
          <w:lang w:val="en-US"/>
        </w:rPr>
        <w:t xml:space="preserve"> while </w:t>
      </w:r>
      <w:r w:rsidR="00BF08FD">
        <w:rPr>
          <w:rFonts w:ascii="Times New Roman" w:hAnsi="Times New Roman" w:cs="Times New Roman"/>
          <w:sz w:val="24"/>
          <w:szCs w:val="24"/>
          <w:lang w:val="en-US"/>
        </w:rPr>
        <w:t>the</w:t>
      </w:r>
      <w:r w:rsidR="00B813A4">
        <w:rPr>
          <w:rFonts w:ascii="Times New Roman" w:hAnsi="Times New Roman" w:cs="Times New Roman"/>
          <w:sz w:val="24"/>
          <w:szCs w:val="24"/>
          <w:lang w:val="en-US"/>
        </w:rPr>
        <w:t xml:space="preserve"> majority of the</w:t>
      </w:r>
      <w:r w:rsidR="00BF08FD">
        <w:rPr>
          <w:rFonts w:ascii="Times New Roman" w:hAnsi="Times New Roman" w:cs="Times New Roman"/>
          <w:sz w:val="24"/>
          <w:szCs w:val="24"/>
          <w:lang w:val="en-US"/>
        </w:rPr>
        <w:t xml:space="preserve"> population of </w:t>
      </w:r>
      <w:r w:rsidR="009559FE">
        <w:rPr>
          <w:rFonts w:ascii="Times New Roman" w:hAnsi="Times New Roman" w:cs="Times New Roman"/>
          <w:sz w:val="24"/>
          <w:szCs w:val="24"/>
          <w:lang w:val="en-US"/>
        </w:rPr>
        <w:t>NI</w:t>
      </w:r>
      <w:r w:rsidR="00B813A4">
        <w:rPr>
          <w:rFonts w:ascii="Times New Roman" w:hAnsi="Times New Roman" w:cs="Times New Roman"/>
          <w:sz w:val="24"/>
          <w:szCs w:val="24"/>
          <w:lang w:val="en-US"/>
        </w:rPr>
        <w:t xml:space="preserve"> is eligible to</w:t>
      </w:r>
      <w:r w:rsidR="00BF08FD">
        <w:rPr>
          <w:rFonts w:ascii="Times New Roman" w:hAnsi="Times New Roman" w:cs="Times New Roman"/>
          <w:sz w:val="24"/>
          <w:szCs w:val="24"/>
          <w:lang w:val="en-US"/>
        </w:rPr>
        <w:t xml:space="preserve"> </w:t>
      </w:r>
      <w:r w:rsidR="009559FE">
        <w:rPr>
          <w:rFonts w:ascii="Times New Roman" w:hAnsi="Times New Roman" w:cs="Times New Roman"/>
          <w:sz w:val="24"/>
          <w:szCs w:val="24"/>
          <w:lang w:val="en-US"/>
        </w:rPr>
        <w:t xml:space="preserve">free healthcare </w:t>
      </w:r>
      <w:r w:rsidR="00BF08FD">
        <w:rPr>
          <w:rFonts w:ascii="Times New Roman" w:hAnsi="Times New Roman" w:cs="Times New Roman"/>
          <w:sz w:val="24"/>
          <w:szCs w:val="24"/>
          <w:lang w:val="en-US"/>
        </w:rPr>
        <w:t xml:space="preserve">under </w:t>
      </w:r>
      <w:r>
        <w:rPr>
          <w:rFonts w:ascii="Times New Roman" w:hAnsi="Times New Roman" w:cs="Times New Roman"/>
          <w:sz w:val="24"/>
          <w:szCs w:val="24"/>
          <w:lang w:val="en-US"/>
        </w:rPr>
        <w:t>the United Kingdom’s National Health System</w:t>
      </w:r>
      <w:r w:rsidR="009559FE">
        <w:rPr>
          <w:rFonts w:ascii="Times New Roman" w:hAnsi="Times New Roman" w:cs="Times New Roman"/>
          <w:sz w:val="24"/>
          <w:szCs w:val="24"/>
          <w:lang w:val="en-US"/>
        </w:rPr>
        <w:t xml:space="preserve"> (NHS)</w:t>
      </w:r>
      <w:r>
        <w:rPr>
          <w:rFonts w:ascii="Times New Roman" w:hAnsi="Times New Roman" w:cs="Times New Roman"/>
          <w:sz w:val="24"/>
          <w:szCs w:val="24"/>
          <w:lang w:val="en-US"/>
        </w:rPr>
        <w:t>.</w:t>
      </w:r>
      <w:r w:rsidR="00D75000">
        <w:rPr>
          <w:rFonts w:ascii="Times New Roman" w:hAnsi="Times New Roman" w:cs="Times New Roman"/>
          <w:sz w:val="24"/>
          <w:szCs w:val="24"/>
          <w:lang w:val="en-US"/>
        </w:rPr>
        <w:t xml:space="preserve">  </w:t>
      </w:r>
      <w:r w:rsidR="00BF08FD">
        <w:rPr>
          <w:rFonts w:ascii="Times New Roman" w:hAnsi="Times New Roman" w:cs="Times New Roman"/>
          <w:sz w:val="24"/>
          <w:szCs w:val="24"/>
          <w:lang w:val="en-US"/>
        </w:rPr>
        <w:t xml:space="preserve">There is mixed evidence for the impact of the differing healthcare systems on healthcare </w:t>
      </w:r>
      <w:proofErr w:type="spellStart"/>
      <w:r w:rsidR="00BC53DF">
        <w:rPr>
          <w:rFonts w:ascii="Times New Roman" w:hAnsi="Times New Roman" w:cs="Times New Roman"/>
          <w:sz w:val="24"/>
          <w:szCs w:val="24"/>
          <w:lang w:val="en-US"/>
        </w:rPr>
        <w:t>utilis</w:t>
      </w:r>
      <w:r w:rsidR="00BF08FD">
        <w:rPr>
          <w:rFonts w:ascii="Times New Roman" w:hAnsi="Times New Roman" w:cs="Times New Roman"/>
          <w:sz w:val="24"/>
          <w:szCs w:val="24"/>
          <w:lang w:val="en-US"/>
        </w:rPr>
        <w:t>ation</w:t>
      </w:r>
      <w:proofErr w:type="spellEnd"/>
      <w:r w:rsidR="00BF08FD">
        <w:rPr>
          <w:rFonts w:ascii="Times New Roman" w:hAnsi="Times New Roman" w:cs="Times New Roman"/>
          <w:sz w:val="24"/>
          <w:szCs w:val="24"/>
          <w:lang w:val="en-US"/>
        </w:rPr>
        <w:t>.  For example, s</w:t>
      </w:r>
      <w:proofErr w:type="spellStart"/>
      <w:r w:rsidR="00DA4425" w:rsidRPr="0084036C">
        <w:rPr>
          <w:rFonts w:ascii="Times New Roman" w:hAnsi="Times New Roman" w:cs="Times New Roman"/>
          <w:sz w:val="24"/>
          <w:szCs w:val="24"/>
        </w:rPr>
        <w:t>ome</w:t>
      </w:r>
      <w:proofErr w:type="spellEnd"/>
      <w:r w:rsidR="00DA4425" w:rsidRPr="0084036C">
        <w:rPr>
          <w:rFonts w:ascii="Times New Roman" w:hAnsi="Times New Roman" w:cs="Times New Roman"/>
          <w:sz w:val="24"/>
          <w:szCs w:val="24"/>
        </w:rPr>
        <w:t xml:space="preserve"> studies (e.g., McGregor &amp; </w:t>
      </w:r>
      <w:r w:rsidR="00FC17A3">
        <w:rPr>
          <w:rFonts w:ascii="Times New Roman" w:hAnsi="Times New Roman" w:cs="Times New Roman"/>
          <w:sz w:val="24"/>
          <w:szCs w:val="24"/>
        </w:rPr>
        <w:t>O’Neill, 2007; Ward et al., 2009</w:t>
      </w:r>
      <w:r w:rsidR="00DA4425" w:rsidRPr="0084036C">
        <w:rPr>
          <w:rFonts w:ascii="Times New Roman" w:hAnsi="Times New Roman" w:cs="Times New Roman"/>
          <w:sz w:val="24"/>
          <w:szCs w:val="24"/>
        </w:rPr>
        <w:t>) have found that GP consultation and hospitalisation rates are much the same in both co</w:t>
      </w:r>
      <w:r w:rsidR="00A56988">
        <w:rPr>
          <w:rFonts w:ascii="Times New Roman" w:hAnsi="Times New Roman" w:cs="Times New Roman"/>
          <w:sz w:val="24"/>
          <w:szCs w:val="24"/>
        </w:rPr>
        <w:t>untries in spite of the availability of free healthcare in NI</w:t>
      </w:r>
      <w:r w:rsidR="00BC53DF">
        <w:rPr>
          <w:rFonts w:ascii="Times New Roman" w:hAnsi="Times New Roman" w:cs="Times New Roman"/>
          <w:sz w:val="24"/>
          <w:szCs w:val="24"/>
        </w:rPr>
        <w:t xml:space="preserve">, while </w:t>
      </w:r>
      <w:r w:rsidR="00BF08FD" w:rsidRPr="0084036C">
        <w:rPr>
          <w:rFonts w:ascii="Times New Roman" w:hAnsi="Times New Roman" w:cs="Times New Roman"/>
          <w:sz w:val="24"/>
          <w:szCs w:val="24"/>
        </w:rPr>
        <w:t xml:space="preserve">other studies (e.g., O’Reilly et al., 2007; </w:t>
      </w:r>
      <w:proofErr w:type="spellStart"/>
      <w:r w:rsidR="00BF08FD" w:rsidRPr="0084036C">
        <w:rPr>
          <w:rFonts w:ascii="Times New Roman" w:hAnsi="Times New Roman" w:cs="Times New Roman"/>
          <w:sz w:val="24"/>
          <w:szCs w:val="24"/>
        </w:rPr>
        <w:t>Layte</w:t>
      </w:r>
      <w:proofErr w:type="spellEnd"/>
      <w:r w:rsidR="00BF08FD" w:rsidRPr="0084036C">
        <w:rPr>
          <w:rFonts w:ascii="Times New Roman" w:hAnsi="Times New Roman" w:cs="Times New Roman"/>
          <w:sz w:val="24"/>
          <w:szCs w:val="24"/>
        </w:rPr>
        <w:t xml:space="preserve"> &amp; Nolan, 2015) have found evidence of unmet need in some socioeconomic groups in ROI as a result of having to pay for GP appointments.</w:t>
      </w:r>
    </w:p>
    <w:p w:rsidR="00DA4425" w:rsidRPr="002879F3" w:rsidRDefault="00DA4425" w:rsidP="00461457">
      <w:pPr>
        <w:spacing w:after="0" w:line="360" w:lineRule="auto"/>
        <w:rPr>
          <w:rFonts w:ascii="Times New Roman" w:hAnsi="Times New Roman" w:cs="Times New Roman"/>
          <w:sz w:val="24"/>
          <w:szCs w:val="24"/>
          <w:lang w:val="en-US"/>
        </w:rPr>
      </w:pPr>
    </w:p>
    <w:p w:rsidR="00152733" w:rsidRPr="006D1949" w:rsidRDefault="00152733" w:rsidP="00461457">
      <w:pPr>
        <w:spacing w:after="0" w:line="360" w:lineRule="auto"/>
        <w:rPr>
          <w:rFonts w:ascii="Times New Roman" w:hAnsi="Times New Roman" w:cs="Times New Roman"/>
          <w:i/>
          <w:sz w:val="24"/>
          <w:szCs w:val="24"/>
          <w:lang w:val="en-US"/>
        </w:rPr>
      </w:pPr>
      <w:r w:rsidRPr="006D1949">
        <w:rPr>
          <w:rFonts w:ascii="Times New Roman" w:hAnsi="Times New Roman" w:cs="Times New Roman"/>
          <w:i/>
          <w:sz w:val="24"/>
          <w:szCs w:val="24"/>
          <w:lang w:val="en-US"/>
        </w:rPr>
        <w:t xml:space="preserve">Risk factors for </w:t>
      </w:r>
      <w:r w:rsidR="006D052A">
        <w:rPr>
          <w:rFonts w:ascii="Times New Roman" w:hAnsi="Times New Roman" w:cs="Times New Roman"/>
          <w:i/>
          <w:sz w:val="24"/>
          <w:szCs w:val="24"/>
          <w:lang w:val="en-US"/>
        </w:rPr>
        <w:t>CHD</w:t>
      </w:r>
      <w:r w:rsidRPr="006D1949">
        <w:rPr>
          <w:rFonts w:ascii="Times New Roman" w:hAnsi="Times New Roman" w:cs="Times New Roman"/>
          <w:i/>
          <w:sz w:val="24"/>
          <w:szCs w:val="24"/>
          <w:lang w:val="en-US"/>
        </w:rPr>
        <w:t xml:space="preserve"> and </w:t>
      </w:r>
      <w:r w:rsidR="006D052A">
        <w:rPr>
          <w:rFonts w:ascii="Times New Roman" w:hAnsi="Times New Roman" w:cs="Times New Roman"/>
          <w:i/>
          <w:sz w:val="24"/>
          <w:szCs w:val="24"/>
          <w:lang w:val="en-US"/>
        </w:rPr>
        <w:t>CHD-</w:t>
      </w:r>
      <w:r w:rsidRPr="006D1949">
        <w:rPr>
          <w:rFonts w:ascii="Times New Roman" w:hAnsi="Times New Roman" w:cs="Times New Roman"/>
          <w:i/>
          <w:sz w:val="24"/>
          <w:szCs w:val="24"/>
          <w:lang w:val="en-US"/>
        </w:rPr>
        <w:t>related disability</w:t>
      </w:r>
    </w:p>
    <w:p w:rsidR="00C07BE6" w:rsidRPr="00C07BE6" w:rsidRDefault="004A2BD7" w:rsidP="004614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046C9">
        <w:rPr>
          <w:rFonts w:ascii="Times New Roman" w:hAnsi="Times New Roman" w:cs="Times New Roman"/>
          <w:sz w:val="24"/>
          <w:szCs w:val="24"/>
          <w:lang w:val="en-US"/>
        </w:rPr>
        <w:t xml:space="preserve">he associations between CHD and specific risk factors such as smoking, obesity, </w:t>
      </w:r>
      <w:r w:rsidR="00205412">
        <w:rPr>
          <w:rFonts w:ascii="Times New Roman" w:hAnsi="Times New Roman" w:cs="Times New Roman"/>
          <w:sz w:val="24"/>
          <w:szCs w:val="24"/>
          <w:lang w:val="en-US"/>
        </w:rPr>
        <w:t>and physical inactivity</w:t>
      </w:r>
      <w:r>
        <w:rPr>
          <w:rFonts w:ascii="Times New Roman" w:hAnsi="Times New Roman" w:cs="Times New Roman"/>
          <w:sz w:val="24"/>
          <w:szCs w:val="24"/>
          <w:lang w:val="en-US"/>
        </w:rPr>
        <w:t xml:space="preserve"> are well established</w:t>
      </w:r>
      <w:r w:rsidR="007A68CA">
        <w:rPr>
          <w:rFonts w:ascii="Times New Roman" w:hAnsi="Times New Roman" w:cs="Times New Roman"/>
          <w:sz w:val="24"/>
          <w:szCs w:val="24"/>
          <w:lang w:val="en-US"/>
        </w:rPr>
        <w:t xml:space="preserve"> (</w:t>
      </w:r>
      <w:r w:rsidR="007A68CA">
        <w:rPr>
          <w:rFonts w:ascii="Times New Roman" w:hAnsi="Times New Roman" w:cs="Times New Roman"/>
          <w:sz w:val="24"/>
          <w:szCs w:val="24"/>
        </w:rPr>
        <w:t>World Health Organization, 2009;</w:t>
      </w:r>
      <w:r w:rsidR="007A68CA" w:rsidRPr="004E62A0">
        <w:rPr>
          <w:rFonts w:ascii="Times New Roman" w:hAnsi="Times New Roman" w:cs="Times New Roman"/>
          <w:sz w:val="24"/>
          <w:szCs w:val="24"/>
        </w:rPr>
        <w:t xml:space="preserve"> Yusuf, Reddy, </w:t>
      </w:r>
      <w:proofErr w:type="spellStart"/>
      <w:r w:rsidR="007A68CA" w:rsidRPr="004E62A0">
        <w:rPr>
          <w:rFonts w:ascii="Times New Roman" w:hAnsi="Times New Roman" w:cs="Times New Roman"/>
          <w:sz w:val="24"/>
          <w:szCs w:val="24"/>
        </w:rPr>
        <w:t>Ôunpuu</w:t>
      </w:r>
      <w:proofErr w:type="spellEnd"/>
      <w:r w:rsidR="007A68CA" w:rsidRPr="004E62A0">
        <w:rPr>
          <w:rFonts w:ascii="Times New Roman" w:hAnsi="Times New Roman" w:cs="Times New Roman"/>
          <w:sz w:val="24"/>
          <w:szCs w:val="24"/>
        </w:rPr>
        <w:t xml:space="preserve">, &amp; </w:t>
      </w:r>
      <w:proofErr w:type="spellStart"/>
      <w:r w:rsidR="007A68CA" w:rsidRPr="004E62A0">
        <w:rPr>
          <w:rFonts w:ascii="Times New Roman" w:hAnsi="Times New Roman" w:cs="Times New Roman"/>
          <w:sz w:val="24"/>
          <w:szCs w:val="24"/>
        </w:rPr>
        <w:t>Anand</w:t>
      </w:r>
      <w:proofErr w:type="spellEnd"/>
      <w:r w:rsidR="007A68CA" w:rsidRPr="004E62A0">
        <w:rPr>
          <w:rFonts w:ascii="Times New Roman" w:hAnsi="Times New Roman" w:cs="Times New Roman"/>
          <w:sz w:val="24"/>
          <w:szCs w:val="24"/>
        </w:rPr>
        <w:t>, 2001</w:t>
      </w:r>
      <w:r w:rsidR="00226076" w:rsidRPr="004E62A0">
        <w:rPr>
          <w:rFonts w:ascii="Times New Roman" w:hAnsi="Times New Roman" w:cs="Times New Roman"/>
          <w:sz w:val="24"/>
          <w:szCs w:val="24"/>
        </w:rPr>
        <w:t>a, 2001b</w:t>
      </w:r>
      <w:r w:rsidR="007A68CA" w:rsidRPr="004E62A0">
        <w:rPr>
          <w:rFonts w:ascii="Times New Roman" w:hAnsi="Times New Roman" w:cs="Times New Roman"/>
          <w:sz w:val="24"/>
          <w:szCs w:val="24"/>
        </w:rPr>
        <w:t>)</w:t>
      </w:r>
      <w:r w:rsidR="005C758F" w:rsidRPr="004E62A0">
        <w:rPr>
          <w:rFonts w:ascii="Times New Roman" w:hAnsi="Times New Roman" w:cs="Times New Roman"/>
          <w:sz w:val="24"/>
          <w:szCs w:val="24"/>
          <w:lang w:val="en-US"/>
        </w:rPr>
        <w:t>.</w:t>
      </w:r>
      <w:r w:rsidR="002046C9" w:rsidRPr="004E62A0">
        <w:rPr>
          <w:rFonts w:ascii="Times New Roman" w:hAnsi="Times New Roman" w:cs="Times New Roman"/>
          <w:sz w:val="24"/>
          <w:szCs w:val="24"/>
          <w:lang w:val="en-US"/>
        </w:rPr>
        <w:t xml:space="preserve">  However, the</w:t>
      </w:r>
      <w:r w:rsidR="002046C9" w:rsidRPr="003C185E">
        <w:rPr>
          <w:rFonts w:ascii="Times New Roman" w:hAnsi="Times New Roman" w:cs="Times New Roman"/>
          <w:sz w:val="24"/>
          <w:szCs w:val="24"/>
          <w:lang w:val="en-US"/>
        </w:rPr>
        <w:t xml:space="preserve"> literature that focuses specifically on risk factors for </w:t>
      </w:r>
      <w:r w:rsidR="002046C9">
        <w:rPr>
          <w:rFonts w:ascii="Times New Roman" w:hAnsi="Times New Roman" w:cs="Times New Roman"/>
          <w:sz w:val="24"/>
          <w:szCs w:val="24"/>
          <w:lang w:val="en-US"/>
        </w:rPr>
        <w:t>CHD</w:t>
      </w:r>
      <w:r w:rsidR="002046C9" w:rsidRPr="003C185E">
        <w:rPr>
          <w:rFonts w:ascii="Times New Roman" w:hAnsi="Times New Roman" w:cs="Times New Roman"/>
          <w:sz w:val="24"/>
          <w:szCs w:val="24"/>
          <w:lang w:val="en-US"/>
        </w:rPr>
        <w:t xml:space="preserve">-related </w:t>
      </w:r>
      <w:r w:rsidR="002046C9" w:rsidRPr="003C185E">
        <w:rPr>
          <w:rFonts w:ascii="Times New Roman" w:hAnsi="Times New Roman" w:cs="Times New Roman"/>
          <w:i/>
          <w:sz w:val="24"/>
          <w:szCs w:val="24"/>
          <w:lang w:val="en-US"/>
        </w:rPr>
        <w:t>disability</w:t>
      </w:r>
      <w:r w:rsidR="002046C9" w:rsidRPr="003C185E">
        <w:rPr>
          <w:rFonts w:ascii="Times New Roman" w:hAnsi="Times New Roman" w:cs="Times New Roman"/>
          <w:sz w:val="24"/>
          <w:szCs w:val="24"/>
          <w:lang w:val="en-US"/>
        </w:rPr>
        <w:t xml:space="preserve"> is sparse.  </w:t>
      </w:r>
      <w:r w:rsidR="00C2182F" w:rsidRPr="003C185E">
        <w:rPr>
          <w:rFonts w:ascii="Times New Roman" w:hAnsi="Times New Roman"/>
          <w:sz w:val="24"/>
          <w:szCs w:val="24"/>
          <w:lang w:val="en-US"/>
        </w:rPr>
        <w:t>One of the few studies that considered the role of specific</w:t>
      </w:r>
      <w:r w:rsidR="00C2182F" w:rsidRPr="00F5673F">
        <w:rPr>
          <w:rFonts w:ascii="Times New Roman" w:hAnsi="Times New Roman"/>
          <w:sz w:val="24"/>
          <w:szCs w:val="24"/>
          <w:lang w:val="en-US"/>
        </w:rPr>
        <w:t xml:space="preserve"> functional limitations after CHD</w:t>
      </w:r>
      <w:r w:rsidR="00C2182F">
        <w:rPr>
          <w:rFonts w:ascii="Times New Roman" w:hAnsi="Times New Roman"/>
          <w:sz w:val="24"/>
          <w:szCs w:val="24"/>
          <w:lang w:val="en-US"/>
        </w:rPr>
        <w:t xml:space="preserve"> onset,</w:t>
      </w:r>
      <w:r w:rsidR="00C2182F" w:rsidRPr="00F5673F">
        <w:rPr>
          <w:rFonts w:ascii="Times New Roman" w:hAnsi="Times New Roman"/>
          <w:sz w:val="24"/>
          <w:szCs w:val="24"/>
          <w:lang w:val="en-US"/>
        </w:rPr>
        <w:t xml:space="preserve"> the Whitehall II study</w:t>
      </w:r>
      <w:r w:rsidR="00C2182F">
        <w:rPr>
          <w:rFonts w:ascii="Times New Roman" w:hAnsi="Times New Roman"/>
          <w:sz w:val="24"/>
          <w:szCs w:val="24"/>
          <w:lang w:val="en-US"/>
        </w:rPr>
        <w:t>,</w:t>
      </w:r>
      <w:r w:rsidR="00C2182F" w:rsidRPr="00F5673F">
        <w:rPr>
          <w:rFonts w:ascii="Times New Roman" w:hAnsi="Times New Roman"/>
          <w:sz w:val="24"/>
          <w:szCs w:val="24"/>
          <w:lang w:val="en-US"/>
        </w:rPr>
        <w:t xml:space="preserve"> found that of five lifestyle</w:t>
      </w:r>
      <w:r w:rsidR="00C2182F">
        <w:rPr>
          <w:rFonts w:ascii="Times New Roman" w:hAnsi="Times New Roman"/>
          <w:sz w:val="24"/>
          <w:szCs w:val="24"/>
          <w:lang w:val="en-US"/>
        </w:rPr>
        <w:t>-related</w:t>
      </w:r>
      <w:r w:rsidR="00C2182F" w:rsidRPr="00F5673F">
        <w:rPr>
          <w:rFonts w:ascii="Times New Roman" w:hAnsi="Times New Roman"/>
          <w:sz w:val="24"/>
          <w:szCs w:val="24"/>
          <w:lang w:val="en-US"/>
        </w:rPr>
        <w:t xml:space="preserve"> factors examined (obesity, smoking, alcohol, diet, physical inactivity), obesity and physical inactivity were most </w:t>
      </w:r>
      <w:r w:rsidR="00C2182F">
        <w:rPr>
          <w:rFonts w:ascii="Times New Roman" w:hAnsi="Times New Roman"/>
          <w:sz w:val="24"/>
          <w:szCs w:val="24"/>
          <w:lang w:val="en-US"/>
        </w:rPr>
        <w:t xml:space="preserve">strongly </w:t>
      </w:r>
      <w:r w:rsidR="00C2182F" w:rsidRPr="00F5673F">
        <w:rPr>
          <w:rFonts w:ascii="Times New Roman" w:hAnsi="Times New Roman"/>
          <w:sz w:val="24"/>
          <w:szCs w:val="24"/>
          <w:lang w:val="en-US"/>
        </w:rPr>
        <w:t xml:space="preserve">associated </w:t>
      </w:r>
      <w:r w:rsidR="00C2182F">
        <w:rPr>
          <w:rFonts w:ascii="Times New Roman" w:hAnsi="Times New Roman"/>
          <w:sz w:val="24"/>
          <w:szCs w:val="24"/>
          <w:lang w:val="en-US"/>
        </w:rPr>
        <w:t xml:space="preserve">with disability </w:t>
      </w:r>
      <w:r w:rsidR="00C2182F" w:rsidRPr="00F5673F">
        <w:rPr>
          <w:rFonts w:ascii="Times New Roman" w:hAnsi="Times New Roman"/>
          <w:sz w:val="24"/>
          <w:szCs w:val="24"/>
          <w:lang w:val="en-US"/>
        </w:rPr>
        <w:t>both pre- and post-onset of CHD</w:t>
      </w:r>
      <w:r w:rsidR="007A68CA">
        <w:rPr>
          <w:rFonts w:ascii="Times New Roman" w:hAnsi="Times New Roman"/>
          <w:sz w:val="24"/>
          <w:szCs w:val="24"/>
          <w:lang w:val="en-US"/>
        </w:rPr>
        <w:t xml:space="preserve"> (</w:t>
      </w:r>
      <w:r w:rsidR="007A68CA">
        <w:rPr>
          <w:rFonts w:ascii="Times New Roman" w:hAnsi="Times New Roman" w:cs="Times New Roman"/>
          <w:sz w:val="24"/>
          <w:szCs w:val="24"/>
          <w:lang w:val="en-US"/>
        </w:rPr>
        <w:t>Britton,</w:t>
      </w:r>
      <w:r w:rsidR="007A68CA" w:rsidRPr="00CF46FB">
        <w:rPr>
          <w:rFonts w:ascii="Times New Roman" w:hAnsi="Times New Roman" w:cs="Times New Roman"/>
          <w:sz w:val="24"/>
          <w:szCs w:val="24"/>
          <w:lang w:val="en-US"/>
        </w:rPr>
        <w:t xml:space="preserve"> </w:t>
      </w:r>
      <w:r w:rsidR="007A68CA">
        <w:rPr>
          <w:rFonts w:ascii="Times New Roman" w:hAnsi="Times New Roman" w:cs="Times New Roman"/>
          <w:sz w:val="24"/>
          <w:szCs w:val="24"/>
          <w:lang w:val="en-US"/>
        </w:rPr>
        <w:t>Brunner,</w:t>
      </w:r>
      <w:r w:rsidR="007A68CA" w:rsidRPr="00CF46FB">
        <w:rPr>
          <w:rFonts w:ascii="Times New Roman" w:hAnsi="Times New Roman" w:cs="Times New Roman"/>
          <w:sz w:val="24"/>
          <w:szCs w:val="24"/>
          <w:lang w:val="en-US"/>
        </w:rPr>
        <w:t xml:space="preserve"> </w:t>
      </w:r>
      <w:proofErr w:type="spellStart"/>
      <w:r w:rsidR="007A68CA">
        <w:rPr>
          <w:rFonts w:ascii="Times New Roman" w:hAnsi="Times New Roman" w:cs="Times New Roman"/>
          <w:sz w:val="24"/>
          <w:szCs w:val="24"/>
          <w:lang w:val="en-US"/>
        </w:rPr>
        <w:t>Kivimaki</w:t>
      </w:r>
      <w:proofErr w:type="spellEnd"/>
      <w:r w:rsidR="007A68CA">
        <w:rPr>
          <w:rFonts w:ascii="Times New Roman" w:hAnsi="Times New Roman" w:cs="Times New Roman"/>
          <w:sz w:val="24"/>
          <w:szCs w:val="24"/>
          <w:lang w:val="en-US"/>
        </w:rPr>
        <w:t xml:space="preserve">, </w:t>
      </w:r>
      <w:r w:rsidR="00226076">
        <w:rPr>
          <w:rFonts w:ascii="Times New Roman" w:hAnsi="Times New Roman" w:cs="Times New Roman"/>
          <w:sz w:val="24"/>
          <w:szCs w:val="24"/>
          <w:lang w:val="en-US"/>
        </w:rPr>
        <w:t xml:space="preserve">&amp; </w:t>
      </w:r>
      <w:r w:rsidR="00226076" w:rsidRPr="004E62A0">
        <w:rPr>
          <w:rFonts w:ascii="Times New Roman" w:hAnsi="Times New Roman" w:cs="Times New Roman"/>
          <w:sz w:val="24"/>
          <w:szCs w:val="24"/>
          <w:lang w:val="en-US"/>
        </w:rPr>
        <w:t>Shipley</w:t>
      </w:r>
      <w:r w:rsidR="007A68CA" w:rsidRPr="004E62A0">
        <w:rPr>
          <w:rFonts w:ascii="Times New Roman" w:hAnsi="Times New Roman" w:cs="Times New Roman"/>
          <w:sz w:val="24"/>
          <w:szCs w:val="24"/>
          <w:lang w:val="en-US"/>
        </w:rPr>
        <w:t>, 2012)</w:t>
      </w:r>
      <w:r w:rsidR="009740CE" w:rsidRPr="004E62A0">
        <w:rPr>
          <w:rFonts w:ascii="Times New Roman" w:hAnsi="Times New Roman"/>
          <w:sz w:val="24"/>
          <w:szCs w:val="24"/>
          <w:lang w:val="en-US"/>
        </w:rPr>
        <w:t>.</w:t>
      </w:r>
      <w:r w:rsidR="00C2182F" w:rsidRPr="004E62A0">
        <w:rPr>
          <w:rFonts w:ascii="Times New Roman" w:hAnsi="Times New Roman"/>
          <w:sz w:val="24"/>
          <w:szCs w:val="24"/>
          <w:lang w:val="en-US"/>
        </w:rPr>
        <w:t xml:space="preserve">  </w:t>
      </w:r>
      <w:r w:rsidR="00E62283" w:rsidRPr="004E62A0">
        <w:rPr>
          <w:rFonts w:ascii="Times New Roman" w:hAnsi="Times New Roman"/>
          <w:sz w:val="24"/>
          <w:szCs w:val="24"/>
          <w:lang w:val="en-US"/>
        </w:rPr>
        <w:t>If</w:t>
      </w:r>
      <w:r w:rsidR="00BC70C7" w:rsidRPr="004E62A0">
        <w:rPr>
          <w:rFonts w:ascii="Times New Roman" w:hAnsi="Times New Roman"/>
          <w:sz w:val="24"/>
          <w:szCs w:val="24"/>
          <w:lang w:val="en-US"/>
        </w:rPr>
        <w:t>, as in the Whitehall study,</w:t>
      </w:r>
      <w:r w:rsidR="00E62283" w:rsidRPr="004E62A0">
        <w:rPr>
          <w:rFonts w:ascii="Times New Roman" w:hAnsi="Times New Roman"/>
          <w:sz w:val="24"/>
          <w:szCs w:val="24"/>
          <w:lang w:val="en-US"/>
        </w:rPr>
        <w:t xml:space="preserve"> we consider CHD as a mediator between</w:t>
      </w:r>
      <w:r w:rsidR="00E62283" w:rsidRPr="00F5673F">
        <w:rPr>
          <w:rFonts w:ascii="Times New Roman" w:hAnsi="Times New Roman"/>
          <w:sz w:val="24"/>
          <w:szCs w:val="24"/>
          <w:lang w:val="en-US"/>
        </w:rPr>
        <w:t xml:space="preserve"> various risk factors and </w:t>
      </w:r>
      <w:r w:rsidR="00E62283">
        <w:rPr>
          <w:rFonts w:ascii="Times New Roman" w:hAnsi="Times New Roman"/>
          <w:sz w:val="24"/>
          <w:szCs w:val="24"/>
          <w:lang w:val="en-US"/>
        </w:rPr>
        <w:t>subsequent disability,</w:t>
      </w:r>
      <w:r w:rsidR="00E62283" w:rsidRPr="00F5673F">
        <w:rPr>
          <w:rFonts w:ascii="Times New Roman" w:hAnsi="Times New Roman"/>
          <w:sz w:val="24"/>
          <w:szCs w:val="24"/>
          <w:lang w:val="en-US"/>
        </w:rPr>
        <w:t xml:space="preserve"> </w:t>
      </w:r>
      <w:r w:rsidR="00BC70C7">
        <w:rPr>
          <w:rFonts w:ascii="Times New Roman" w:hAnsi="Times New Roman"/>
          <w:sz w:val="24"/>
          <w:szCs w:val="24"/>
          <w:lang w:val="en-US"/>
        </w:rPr>
        <w:t>we can</w:t>
      </w:r>
      <w:r w:rsidR="00C2182F">
        <w:rPr>
          <w:rFonts w:ascii="Times New Roman" w:hAnsi="Times New Roman"/>
          <w:sz w:val="24"/>
          <w:szCs w:val="24"/>
          <w:lang w:val="en-US"/>
        </w:rPr>
        <w:t xml:space="preserve"> examine the effects of </w:t>
      </w:r>
      <w:r w:rsidR="00E62283" w:rsidRPr="00F5673F">
        <w:rPr>
          <w:rFonts w:ascii="Times New Roman" w:hAnsi="Times New Roman"/>
          <w:sz w:val="24"/>
          <w:szCs w:val="24"/>
          <w:lang w:val="en-US"/>
        </w:rPr>
        <w:t xml:space="preserve">risk factors </w:t>
      </w:r>
      <w:r w:rsidR="005A0B6C">
        <w:rPr>
          <w:rFonts w:ascii="Times New Roman" w:hAnsi="Times New Roman"/>
          <w:sz w:val="24"/>
          <w:szCs w:val="24"/>
          <w:lang w:val="en-US"/>
        </w:rPr>
        <w:t xml:space="preserve">such as current </w:t>
      </w:r>
      <w:r w:rsidR="005A0B6C" w:rsidRPr="00F5673F">
        <w:rPr>
          <w:rFonts w:ascii="Times New Roman" w:hAnsi="Times New Roman"/>
          <w:sz w:val="24"/>
          <w:szCs w:val="24"/>
          <w:lang w:val="en-US"/>
        </w:rPr>
        <w:t>smo</w:t>
      </w:r>
      <w:r w:rsidR="005A0B6C">
        <w:rPr>
          <w:rFonts w:ascii="Times New Roman" w:hAnsi="Times New Roman"/>
          <w:sz w:val="24"/>
          <w:szCs w:val="24"/>
          <w:lang w:val="en-US"/>
        </w:rPr>
        <w:t>king</w:t>
      </w:r>
      <w:r w:rsidR="005A0B6C" w:rsidRPr="00F5673F">
        <w:rPr>
          <w:rFonts w:ascii="Times New Roman" w:hAnsi="Times New Roman"/>
          <w:sz w:val="24"/>
          <w:szCs w:val="24"/>
          <w:lang w:val="en-US"/>
        </w:rPr>
        <w:t xml:space="preserve">, </w:t>
      </w:r>
      <w:r w:rsidR="005A0B6C">
        <w:rPr>
          <w:rFonts w:ascii="Times New Roman" w:hAnsi="Times New Roman"/>
          <w:sz w:val="24"/>
          <w:szCs w:val="24"/>
          <w:lang w:val="en-US"/>
        </w:rPr>
        <w:t>obesity</w:t>
      </w:r>
      <w:r w:rsidR="005A0B6C" w:rsidRPr="00F5673F">
        <w:rPr>
          <w:rFonts w:ascii="Times New Roman" w:hAnsi="Times New Roman"/>
          <w:sz w:val="24"/>
          <w:szCs w:val="24"/>
          <w:lang w:val="en-US"/>
        </w:rPr>
        <w:t xml:space="preserve">, physical inactivity, </w:t>
      </w:r>
      <w:r w:rsidR="00334E37">
        <w:rPr>
          <w:rFonts w:ascii="Times New Roman" w:hAnsi="Times New Roman"/>
          <w:sz w:val="24"/>
          <w:szCs w:val="24"/>
          <w:lang w:val="en-US"/>
        </w:rPr>
        <w:t xml:space="preserve">and </w:t>
      </w:r>
      <w:r w:rsidR="005A0B6C" w:rsidRPr="00F5673F">
        <w:rPr>
          <w:rFonts w:ascii="Times New Roman" w:hAnsi="Times New Roman"/>
          <w:sz w:val="24"/>
          <w:szCs w:val="24"/>
          <w:lang w:val="en-US"/>
        </w:rPr>
        <w:t>di</w:t>
      </w:r>
      <w:r w:rsidR="005A0B6C">
        <w:rPr>
          <w:rFonts w:ascii="Times New Roman" w:hAnsi="Times New Roman"/>
          <w:sz w:val="24"/>
          <w:szCs w:val="24"/>
          <w:lang w:val="en-US"/>
        </w:rPr>
        <w:t>abetes</w:t>
      </w:r>
      <w:r w:rsidR="007A68CA">
        <w:rPr>
          <w:rFonts w:ascii="Times New Roman" w:hAnsi="Times New Roman"/>
          <w:sz w:val="24"/>
          <w:szCs w:val="24"/>
          <w:lang w:val="en-US"/>
        </w:rPr>
        <w:t xml:space="preserve"> (</w:t>
      </w:r>
      <w:r w:rsidR="007A68CA">
        <w:rPr>
          <w:rFonts w:ascii="Times New Roman" w:hAnsi="Times New Roman" w:cs="Times New Roman"/>
          <w:sz w:val="24"/>
          <w:szCs w:val="24"/>
        </w:rPr>
        <w:t>Yusuf</w:t>
      </w:r>
      <w:r w:rsidR="00226076">
        <w:rPr>
          <w:rFonts w:ascii="Times New Roman" w:hAnsi="Times New Roman" w:cs="Times New Roman"/>
          <w:sz w:val="24"/>
          <w:szCs w:val="24"/>
        </w:rPr>
        <w:t xml:space="preserve"> </w:t>
      </w:r>
      <w:r w:rsidR="007A68CA" w:rsidRPr="004E62A0">
        <w:rPr>
          <w:rFonts w:ascii="Times New Roman" w:hAnsi="Times New Roman" w:cs="Times New Roman"/>
          <w:sz w:val="24"/>
          <w:szCs w:val="24"/>
        </w:rPr>
        <w:t>et al.</w:t>
      </w:r>
      <w:r w:rsidR="00382E95" w:rsidRPr="004E62A0">
        <w:rPr>
          <w:rFonts w:ascii="Times New Roman" w:hAnsi="Times New Roman" w:cs="Times New Roman"/>
          <w:sz w:val="24"/>
          <w:szCs w:val="24"/>
        </w:rPr>
        <w:t xml:space="preserve">, </w:t>
      </w:r>
      <w:r w:rsidR="007A68CA" w:rsidRPr="004E62A0">
        <w:rPr>
          <w:rFonts w:ascii="Times New Roman" w:hAnsi="Times New Roman" w:cs="Times New Roman"/>
          <w:sz w:val="24"/>
          <w:szCs w:val="24"/>
        </w:rPr>
        <w:t>2001</w:t>
      </w:r>
      <w:r w:rsidR="00226076" w:rsidRPr="004E62A0">
        <w:rPr>
          <w:rFonts w:ascii="Times New Roman" w:hAnsi="Times New Roman" w:cs="Times New Roman"/>
          <w:sz w:val="24"/>
          <w:szCs w:val="24"/>
        </w:rPr>
        <w:t>a, 2001b</w:t>
      </w:r>
      <w:r w:rsidR="007A68CA" w:rsidRPr="004E62A0">
        <w:rPr>
          <w:rFonts w:ascii="Times New Roman" w:hAnsi="Times New Roman" w:cs="Times New Roman"/>
          <w:sz w:val="24"/>
          <w:szCs w:val="24"/>
          <w:lang w:val="en-US"/>
        </w:rPr>
        <w:t>)</w:t>
      </w:r>
      <w:r w:rsidR="005A0B6C" w:rsidRPr="004E62A0">
        <w:rPr>
          <w:rFonts w:ascii="Times New Roman" w:hAnsi="Times New Roman"/>
          <w:sz w:val="24"/>
          <w:szCs w:val="24"/>
          <w:lang w:val="en-US"/>
        </w:rPr>
        <w:t xml:space="preserve"> o</w:t>
      </w:r>
      <w:r w:rsidR="00E62283" w:rsidRPr="004E62A0">
        <w:rPr>
          <w:rFonts w:ascii="Times New Roman" w:hAnsi="Times New Roman"/>
          <w:sz w:val="24"/>
          <w:szCs w:val="24"/>
          <w:lang w:val="en-US"/>
        </w:rPr>
        <w:t>n</w:t>
      </w:r>
      <w:r w:rsidR="00E62283" w:rsidRPr="00F5673F">
        <w:rPr>
          <w:rFonts w:ascii="Times New Roman" w:hAnsi="Times New Roman"/>
          <w:sz w:val="24"/>
          <w:szCs w:val="24"/>
          <w:lang w:val="en-US"/>
        </w:rPr>
        <w:t xml:space="preserve"> </w:t>
      </w:r>
      <w:r w:rsidR="00753A5D">
        <w:rPr>
          <w:rFonts w:ascii="Times New Roman" w:hAnsi="Times New Roman"/>
          <w:sz w:val="24"/>
          <w:szCs w:val="24"/>
          <w:lang w:val="en-US"/>
        </w:rPr>
        <w:t>CHD-related</w:t>
      </w:r>
      <w:r w:rsidR="00E62283" w:rsidRPr="00F5673F">
        <w:rPr>
          <w:rFonts w:ascii="Times New Roman" w:hAnsi="Times New Roman"/>
          <w:sz w:val="24"/>
          <w:szCs w:val="24"/>
          <w:lang w:val="en-US"/>
        </w:rPr>
        <w:t xml:space="preserve"> disability.</w:t>
      </w:r>
      <w:r w:rsidR="00C07BE6" w:rsidRPr="00C07BE6">
        <w:rPr>
          <w:rFonts w:ascii="Times New Roman" w:hAnsi="Times New Roman" w:cs="Times New Roman"/>
          <w:sz w:val="24"/>
          <w:szCs w:val="24"/>
          <w:lang w:val="en-US"/>
        </w:rPr>
        <w:t xml:space="preserve"> </w:t>
      </w:r>
      <w:r w:rsidR="00C07BE6">
        <w:rPr>
          <w:rFonts w:ascii="Times New Roman" w:hAnsi="Times New Roman" w:cs="Times New Roman"/>
          <w:sz w:val="24"/>
          <w:szCs w:val="24"/>
          <w:lang w:val="en-US"/>
        </w:rPr>
        <w:t xml:space="preserve"> </w:t>
      </w:r>
      <w:r w:rsidR="00334E37">
        <w:rPr>
          <w:rFonts w:ascii="Times New Roman" w:hAnsi="Times New Roman" w:cs="Times New Roman"/>
          <w:sz w:val="24"/>
          <w:szCs w:val="24"/>
          <w:lang w:val="en-US"/>
        </w:rPr>
        <w:t>T</w:t>
      </w:r>
      <w:r w:rsidR="00C07BE6" w:rsidRPr="00C07BE6">
        <w:rPr>
          <w:rFonts w:ascii="Times New Roman" w:hAnsi="Times New Roman" w:cs="Times New Roman"/>
          <w:sz w:val="24"/>
          <w:szCs w:val="24"/>
          <w:lang w:val="en-US"/>
        </w:rPr>
        <w:t>he effects of</w:t>
      </w:r>
      <w:r w:rsidR="00BC53DF">
        <w:rPr>
          <w:rFonts w:ascii="Times New Roman" w:hAnsi="Times New Roman" w:cs="Times New Roman"/>
          <w:sz w:val="24"/>
          <w:szCs w:val="24"/>
          <w:lang w:val="en-US"/>
        </w:rPr>
        <w:t xml:space="preserve"> depression on CHD are </w:t>
      </w:r>
      <w:r w:rsidR="00C07BE6" w:rsidRPr="00C07BE6">
        <w:rPr>
          <w:rFonts w:ascii="Times New Roman" w:hAnsi="Times New Roman" w:cs="Times New Roman"/>
          <w:sz w:val="24"/>
          <w:szCs w:val="24"/>
          <w:lang w:val="en-US"/>
        </w:rPr>
        <w:t>more complex and the literature is inconsistent.  However, there are a number of studies that have found depressive symptoms to be associated with the onset of sy</w:t>
      </w:r>
      <w:r w:rsidR="00BC53DF">
        <w:rPr>
          <w:rFonts w:ascii="Times New Roman" w:hAnsi="Times New Roman" w:cs="Times New Roman"/>
          <w:sz w:val="24"/>
          <w:szCs w:val="24"/>
          <w:lang w:val="en-US"/>
        </w:rPr>
        <w:t>mptoms of CHD</w:t>
      </w:r>
      <w:r w:rsidR="00C07BE6" w:rsidRPr="00C07BE6">
        <w:rPr>
          <w:rFonts w:ascii="Times New Roman" w:hAnsi="Times New Roman" w:cs="Times New Roman"/>
          <w:sz w:val="24"/>
          <w:szCs w:val="24"/>
          <w:lang w:val="en-US"/>
        </w:rPr>
        <w:t xml:space="preserve"> (</w:t>
      </w:r>
      <w:r w:rsidR="00C07BE6" w:rsidRPr="00C07BE6">
        <w:rPr>
          <w:rFonts w:ascii="Times New Roman" w:hAnsi="Times New Roman" w:cs="Times New Roman"/>
          <w:sz w:val="24"/>
          <w:szCs w:val="24"/>
          <w:lang w:val="en-GB"/>
        </w:rPr>
        <w:t xml:space="preserve">Hemingway &amp; Marmot, 1999; </w:t>
      </w:r>
      <w:proofErr w:type="spellStart"/>
      <w:r w:rsidR="00BC53DF">
        <w:rPr>
          <w:rFonts w:ascii="Times New Roman" w:hAnsi="Times New Roman" w:cs="Times New Roman"/>
          <w:sz w:val="24"/>
          <w:szCs w:val="24"/>
          <w:lang w:val="en-US"/>
        </w:rPr>
        <w:t>Wulsin</w:t>
      </w:r>
      <w:proofErr w:type="spellEnd"/>
      <w:r w:rsidR="00BC53DF">
        <w:rPr>
          <w:rFonts w:ascii="Times New Roman" w:hAnsi="Times New Roman" w:cs="Times New Roman"/>
          <w:sz w:val="24"/>
          <w:szCs w:val="24"/>
          <w:lang w:val="en-US"/>
        </w:rPr>
        <w:t xml:space="preserve"> &amp; </w:t>
      </w:r>
      <w:proofErr w:type="spellStart"/>
      <w:r w:rsidR="00BC53DF">
        <w:rPr>
          <w:rFonts w:ascii="Times New Roman" w:hAnsi="Times New Roman" w:cs="Times New Roman"/>
          <w:sz w:val="24"/>
          <w:szCs w:val="24"/>
          <w:lang w:val="en-US"/>
        </w:rPr>
        <w:t>Singal</w:t>
      </w:r>
      <w:proofErr w:type="spellEnd"/>
      <w:r w:rsidR="00BC53DF">
        <w:rPr>
          <w:rFonts w:ascii="Times New Roman" w:hAnsi="Times New Roman" w:cs="Times New Roman"/>
          <w:sz w:val="24"/>
          <w:szCs w:val="24"/>
          <w:lang w:val="en-US"/>
        </w:rPr>
        <w:t>, 2003), and</w:t>
      </w:r>
      <w:r w:rsidR="00BC53DF" w:rsidRPr="00BC53DF">
        <w:rPr>
          <w:rFonts w:ascii="Times New Roman" w:hAnsi="Times New Roman" w:cs="Times New Roman"/>
          <w:sz w:val="24"/>
          <w:szCs w:val="24"/>
          <w:lang w:val="en-US"/>
        </w:rPr>
        <w:t xml:space="preserve"> </w:t>
      </w:r>
      <w:r w:rsidR="00BC53DF" w:rsidRPr="00C07BE6">
        <w:rPr>
          <w:rFonts w:ascii="Times New Roman" w:hAnsi="Times New Roman" w:cs="Times New Roman"/>
          <w:sz w:val="24"/>
          <w:szCs w:val="24"/>
          <w:lang w:val="en-US"/>
        </w:rPr>
        <w:t>the Global Burde</w:t>
      </w:r>
      <w:r w:rsidR="00BC53DF">
        <w:rPr>
          <w:rFonts w:ascii="Times New Roman" w:hAnsi="Times New Roman" w:cs="Times New Roman"/>
          <w:sz w:val="24"/>
          <w:szCs w:val="24"/>
          <w:lang w:val="en-US"/>
        </w:rPr>
        <w:t>n of Disease Study (</w:t>
      </w:r>
      <w:proofErr w:type="spellStart"/>
      <w:r w:rsidR="00BC53DF">
        <w:rPr>
          <w:rFonts w:ascii="Times New Roman" w:hAnsi="Times New Roman" w:cs="Times New Roman"/>
          <w:sz w:val="24"/>
          <w:szCs w:val="24"/>
          <w:lang w:val="en-US"/>
        </w:rPr>
        <w:t>Charlson</w:t>
      </w:r>
      <w:proofErr w:type="spellEnd"/>
      <w:r w:rsidR="00BC53DF">
        <w:rPr>
          <w:rFonts w:ascii="Times New Roman" w:hAnsi="Times New Roman" w:cs="Times New Roman"/>
          <w:sz w:val="24"/>
          <w:szCs w:val="24"/>
          <w:lang w:val="en-US"/>
        </w:rPr>
        <w:t xml:space="preserve">, </w:t>
      </w:r>
      <w:proofErr w:type="spellStart"/>
      <w:r w:rsidR="00BC53DF">
        <w:rPr>
          <w:rFonts w:ascii="Times New Roman" w:hAnsi="Times New Roman" w:cs="Times New Roman"/>
          <w:sz w:val="24"/>
          <w:szCs w:val="24"/>
          <w:lang w:val="en-US"/>
        </w:rPr>
        <w:t>Stape</w:t>
      </w:r>
      <w:r w:rsidR="00FC17A3">
        <w:rPr>
          <w:rFonts w:ascii="Times New Roman" w:hAnsi="Times New Roman" w:cs="Times New Roman"/>
          <w:sz w:val="24"/>
          <w:szCs w:val="24"/>
          <w:lang w:val="en-US"/>
        </w:rPr>
        <w:t>lberg</w:t>
      </w:r>
      <w:proofErr w:type="spellEnd"/>
      <w:r w:rsidR="00FC17A3">
        <w:rPr>
          <w:rFonts w:ascii="Times New Roman" w:hAnsi="Times New Roman" w:cs="Times New Roman"/>
          <w:sz w:val="24"/>
          <w:szCs w:val="24"/>
          <w:lang w:val="en-US"/>
        </w:rPr>
        <w:t xml:space="preserve">, Baxter, &amp; </w:t>
      </w:r>
      <w:proofErr w:type="spellStart"/>
      <w:r w:rsidR="00FC17A3">
        <w:rPr>
          <w:rFonts w:ascii="Times New Roman" w:hAnsi="Times New Roman" w:cs="Times New Roman"/>
          <w:sz w:val="24"/>
          <w:szCs w:val="24"/>
          <w:lang w:val="en-US"/>
        </w:rPr>
        <w:t>Whiteford</w:t>
      </w:r>
      <w:proofErr w:type="spellEnd"/>
      <w:r w:rsidR="00FC17A3">
        <w:rPr>
          <w:rFonts w:ascii="Times New Roman" w:hAnsi="Times New Roman" w:cs="Times New Roman"/>
          <w:sz w:val="24"/>
          <w:szCs w:val="24"/>
          <w:lang w:val="en-US"/>
        </w:rPr>
        <w:t>, 2011</w:t>
      </w:r>
      <w:r w:rsidR="00BC53DF">
        <w:rPr>
          <w:rFonts w:ascii="Times New Roman" w:hAnsi="Times New Roman" w:cs="Times New Roman"/>
          <w:sz w:val="24"/>
          <w:szCs w:val="24"/>
          <w:lang w:val="en-US"/>
        </w:rPr>
        <w:t>) has flagged depression as a risk factor for CHD.  T</w:t>
      </w:r>
      <w:r w:rsidR="00334E37">
        <w:rPr>
          <w:rFonts w:ascii="Times New Roman" w:hAnsi="Times New Roman" w:cs="Times New Roman"/>
          <w:sz w:val="24"/>
          <w:szCs w:val="24"/>
          <w:lang w:val="en-US"/>
        </w:rPr>
        <w:t>herefore, the present study will include depressi</w:t>
      </w:r>
      <w:r w:rsidR="00BC53DF">
        <w:rPr>
          <w:rFonts w:ascii="Times New Roman" w:hAnsi="Times New Roman" w:cs="Times New Roman"/>
          <w:sz w:val="24"/>
          <w:szCs w:val="24"/>
          <w:lang w:val="en-US"/>
        </w:rPr>
        <w:t>on as a risk factor for CHD and CHD-related disability</w:t>
      </w:r>
      <w:r w:rsidR="00334E37">
        <w:rPr>
          <w:rFonts w:ascii="Times New Roman" w:hAnsi="Times New Roman" w:cs="Times New Roman"/>
          <w:sz w:val="24"/>
          <w:szCs w:val="24"/>
          <w:lang w:val="en-US"/>
        </w:rPr>
        <w:t>.</w:t>
      </w:r>
    </w:p>
    <w:p w:rsidR="00C07BE6" w:rsidRDefault="00C07BE6" w:rsidP="00461457">
      <w:pPr>
        <w:spacing w:after="0" w:line="360" w:lineRule="auto"/>
        <w:rPr>
          <w:rFonts w:ascii="Times New Roman" w:hAnsi="Times New Roman"/>
          <w:sz w:val="24"/>
          <w:szCs w:val="24"/>
          <w:lang w:val="en-US"/>
        </w:rPr>
      </w:pPr>
    </w:p>
    <w:p w:rsidR="00C07BE6" w:rsidRPr="00665CBC" w:rsidRDefault="00C07BE6" w:rsidP="00461457">
      <w:pPr>
        <w:spacing w:after="0" w:line="360" w:lineRule="auto"/>
        <w:rPr>
          <w:rFonts w:ascii="Times New Roman" w:hAnsi="Times New Roman" w:cs="Times New Roman"/>
          <w:i/>
          <w:sz w:val="24"/>
          <w:szCs w:val="24"/>
        </w:rPr>
      </w:pPr>
      <w:r w:rsidRPr="00665CBC">
        <w:rPr>
          <w:rFonts w:ascii="Times New Roman" w:hAnsi="Times New Roman" w:cs="Times New Roman"/>
          <w:i/>
          <w:sz w:val="24"/>
          <w:szCs w:val="24"/>
        </w:rPr>
        <w:t xml:space="preserve">Country-level </w:t>
      </w:r>
      <w:r>
        <w:rPr>
          <w:rFonts w:ascii="Times New Roman" w:hAnsi="Times New Roman" w:cs="Times New Roman"/>
          <w:i/>
          <w:sz w:val="24"/>
          <w:szCs w:val="24"/>
        </w:rPr>
        <w:t xml:space="preserve">differences in </w:t>
      </w:r>
      <w:r w:rsidR="00334E37">
        <w:rPr>
          <w:rFonts w:ascii="Times New Roman" w:hAnsi="Times New Roman" w:cs="Times New Roman"/>
          <w:i/>
          <w:sz w:val="24"/>
          <w:szCs w:val="24"/>
        </w:rPr>
        <w:t xml:space="preserve">risk factors for </w:t>
      </w:r>
      <w:r>
        <w:rPr>
          <w:rFonts w:ascii="Times New Roman" w:hAnsi="Times New Roman" w:cs="Times New Roman"/>
          <w:i/>
          <w:sz w:val="24"/>
          <w:szCs w:val="24"/>
        </w:rPr>
        <w:t>CHD and CHD-related disability</w:t>
      </w:r>
    </w:p>
    <w:p w:rsidR="00C07BE6" w:rsidRDefault="00C07BE6"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Although there is a great deal of similarity between the populations of ROI and NI in relation to ethnic background, diet, culture, etc., previous studies have shown country differences in the prevalence of some of the risk factors for CHD.</w:t>
      </w:r>
      <w:r w:rsidR="00FC17A3">
        <w:rPr>
          <w:rFonts w:ascii="Times New Roman" w:hAnsi="Times New Roman" w:cs="Times New Roman"/>
          <w:sz w:val="24"/>
          <w:szCs w:val="24"/>
        </w:rPr>
        <w:t xml:space="preserve">  For example, Ward et al. (2009</w:t>
      </w:r>
      <w:r>
        <w:rPr>
          <w:rFonts w:ascii="Times New Roman" w:hAnsi="Times New Roman" w:cs="Times New Roman"/>
          <w:sz w:val="24"/>
          <w:szCs w:val="24"/>
        </w:rPr>
        <w:t>) found higher obesity levels in ROI’s 65+ population compared to NI, as well as higher smoking rates.  However, W</w:t>
      </w:r>
      <w:r w:rsidR="00FC17A3">
        <w:rPr>
          <w:rFonts w:ascii="Times New Roman" w:hAnsi="Times New Roman" w:cs="Times New Roman"/>
          <w:sz w:val="24"/>
          <w:szCs w:val="24"/>
        </w:rPr>
        <w:t>ard et al. (2009</w:t>
      </w:r>
      <w:r>
        <w:rPr>
          <w:rFonts w:ascii="Times New Roman" w:hAnsi="Times New Roman" w:cs="Times New Roman"/>
          <w:sz w:val="24"/>
          <w:szCs w:val="24"/>
        </w:rPr>
        <w:t>) found the NI population to be more sedentary than those in ROI.</w:t>
      </w:r>
    </w:p>
    <w:p w:rsidR="00C07BE6" w:rsidRDefault="00C07BE6" w:rsidP="00461457">
      <w:pPr>
        <w:spacing w:after="0" w:line="360" w:lineRule="auto"/>
        <w:rPr>
          <w:rFonts w:ascii="Times New Roman" w:hAnsi="Times New Roman"/>
          <w:sz w:val="24"/>
          <w:szCs w:val="24"/>
          <w:lang w:val="en-US"/>
        </w:rPr>
      </w:pPr>
    </w:p>
    <w:p w:rsidR="00C776F4" w:rsidRPr="00665CBC" w:rsidRDefault="00C776F4"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NI has a long-established, higher prevalence of mental ill-health compared with the rest of the UK</w:t>
      </w:r>
      <w:r w:rsidR="005B6553">
        <w:rPr>
          <w:rFonts w:ascii="Times New Roman" w:hAnsi="Times New Roman" w:cs="Times New Roman"/>
          <w:sz w:val="24"/>
          <w:szCs w:val="24"/>
        </w:rPr>
        <w:t xml:space="preserve"> (O’Reilly &amp; Browne, 2001)</w:t>
      </w:r>
      <w:r w:rsidRPr="002D53AC">
        <w:rPr>
          <w:rFonts w:ascii="Times New Roman" w:hAnsi="Times New Roman" w:cs="Times New Roman"/>
          <w:sz w:val="24"/>
          <w:szCs w:val="24"/>
        </w:rPr>
        <w:t>.</w:t>
      </w:r>
      <w:r>
        <w:rPr>
          <w:rFonts w:ascii="Times New Roman" w:hAnsi="Times New Roman" w:cs="Times New Roman"/>
          <w:sz w:val="24"/>
          <w:szCs w:val="24"/>
        </w:rPr>
        <w:t xml:space="preserve">  Furthermore, </w:t>
      </w:r>
      <w:r w:rsidRPr="002D53AC">
        <w:rPr>
          <w:rFonts w:ascii="Times New Roman" w:hAnsi="Times New Roman" w:cs="Times New Roman"/>
          <w:sz w:val="24"/>
          <w:szCs w:val="24"/>
        </w:rPr>
        <w:t>McGee et al.</w:t>
      </w:r>
      <w:r>
        <w:rPr>
          <w:rFonts w:ascii="Times New Roman" w:hAnsi="Times New Roman" w:cs="Times New Roman"/>
          <w:sz w:val="24"/>
          <w:szCs w:val="24"/>
        </w:rPr>
        <w:t xml:space="preserve"> (</w:t>
      </w:r>
      <w:r w:rsidRPr="002D53AC">
        <w:rPr>
          <w:rFonts w:ascii="Times New Roman" w:hAnsi="Times New Roman" w:cs="Times New Roman"/>
          <w:sz w:val="24"/>
          <w:szCs w:val="24"/>
        </w:rPr>
        <w:t>2005) found that four times more people in NI (compared to ROI) scored in the clinically significant range for depression (as measured by instruments such as the CESD and the GH</w:t>
      </w:r>
      <w:r>
        <w:rPr>
          <w:rFonts w:ascii="Times New Roman" w:hAnsi="Times New Roman" w:cs="Times New Roman"/>
          <w:sz w:val="24"/>
          <w:szCs w:val="24"/>
        </w:rPr>
        <w:t>Q12, 8% vs 2%).</w:t>
      </w:r>
      <w:r w:rsidRPr="002D53AC">
        <w:rPr>
          <w:rFonts w:ascii="Times New Roman" w:hAnsi="Times New Roman" w:cs="Times New Roman"/>
          <w:sz w:val="24"/>
          <w:szCs w:val="24"/>
        </w:rPr>
        <w:t xml:space="preserve"> </w:t>
      </w:r>
      <w:r>
        <w:rPr>
          <w:rFonts w:ascii="Times New Roman" w:hAnsi="Times New Roman" w:cs="Times New Roman"/>
          <w:sz w:val="24"/>
          <w:szCs w:val="24"/>
        </w:rPr>
        <w:t xml:space="preserve"> The higher depression level</w:t>
      </w:r>
      <w:r w:rsidRPr="00665CBC">
        <w:rPr>
          <w:rFonts w:ascii="Times New Roman" w:hAnsi="Times New Roman" w:cs="Times New Roman"/>
          <w:sz w:val="24"/>
          <w:szCs w:val="24"/>
        </w:rPr>
        <w:t xml:space="preserve"> </w:t>
      </w:r>
      <w:r>
        <w:rPr>
          <w:rFonts w:ascii="Times New Roman" w:hAnsi="Times New Roman" w:cs="Times New Roman"/>
          <w:sz w:val="24"/>
          <w:szCs w:val="24"/>
        </w:rPr>
        <w:t>in NI is not unexpected</w:t>
      </w:r>
      <w:r w:rsidRPr="00665CBC">
        <w:rPr>
          <w:rFonts w:ascii="Times New Roman" w:hAnsi="Times New Roman" w:cs="Times New Roman"/>
          <w:sz w:val="24"/>
          <w:szCs w:val="24"/>
        </w:rPr>
        <w:t xml:space="preserve"> – th</w:t>
      </w:r>
      <w:r>
        <w:rPr>
          <w:rFonts w:ascii="Times New Roman" w:hAnsi="Times New Roman" w:cs="Times New Roman"/>
          <w:sz w:val="24"/>
          <w:szCs w:val="24"/>
        </w:rPr>
        <w:t xml:space="preserve">e well-documented ‘Troubles’ (a </w:t>
      </w:r>
      <w:r w:rsidRPr="00665CBC">
        <w:rPr>
          <w:rFonts w:ascii="Times New Roman" w:hAnsi="Times New Roman" w:cs="Times New Roman"/>
          <w:sz w:val="24"/>
          <w:szCs w:val="24"/>
        </w:rPr>
        <w:t xml:space="preserve">period of political </w:t>
      </w:r>
      <w:r>
        <w:rPr>
          <w:rFonts w:ascii="Times New Roman" w:hAnsi="Times New Roman" w:cs="Times New Roman"/>
          <w:sz w:val="24"/>
          <w:szCs w:val="24"/>
        </w:rPr>
        <w:t xml:space="preserve">conflict with accompanying </w:t>
      </w:r>
      <w:r w:rsidRPr="00665CBC">
        <w:rPr>
          <w:rFonts w:ascii="Times New Roman" w:hAnsi="Times New Roman" w:cs="Times New Roman"/>
          <w:sz w:val="24"/>
          <w:szCs w:val="24"/>
        </w:rPr>
        <w:t>civil unrest and violence</w:t>
      </w:r>
      <w:r>
        <w:rPr>
          <w:rFonts w:ascii="Times New Roman" w:hAnsi="Times New Roman" w:cs="Times New Roman"/>
          <w:sz w:val="24"/>
          <w:szCs w:val="24"/>
        </w:rPr>
        <w:t xml:space="preserve"> that lasted from 1968 to 1998</w:t>
      </w:r>
      <w:r w:rsidRPr="00665CBC">
        <w:rPr>
          <w:rFonts w:ascii="Times New Roman" w:hAnsi="Times New Roman" w:cs="Times New Roman"/>
          <w:sz w:val="24"/>
          <w:szCs w:val="24"/>
        </w:rPr>
        <w:t xml:space="preserve">) are posited to have impacted on the psychological health of </w:t>
      </w:r>
      <w:r>
        <w:rPr>
          <w:rFonts w:ascii="Times New Roman" w:hAnsi="Times New Roman" w:cs="Times New Roman"/>
          <w:sz w:val="24"/>
          <w:szCs w:val="24"/>
        </w:rPr>
        <w:t>many</w:t>
      </w:r>
      <w:r w:rsidRPr="00665CBC">
        <w:rPr>
          <w:rFonts w:ascii="Times New Roman" w:hAnsi="Times New Roman" w:cs="Times New Roman"/>
          <w:sz w:val="24"/>
          <w:szCs w:val="24"/>
        </w:rPr>
        <w:t xml:space="preserve"> in NI, especially those who lived (and still live) near contentious regions and peace wa</w:t>
      </w:r>
      <w:r>
        <w:rPr>
          <w:rFonts w:ascii="Times New Roman" w:hAnsi="Times New Roman" w:cs="Times New Roman"/>
          <w:sz w:val="24"/>
          <w:szCs w:val="24"/>
        </w:rPr>
        <w:t>lls (</w:t>
      </w:r>
      <w:r w:rsidR="005B6553">
        <w:rPr>
          <w:rFonts w:ascii="Times New Roman" w:hAnsi="Times New Roman" w:cs="Times New Roman"/>
          <w:sz w:val="24"/>
          <w:szCs w:val="24"/>
        </w:rPr>
        <w:t xml:space="preserve">O’Reilly &amp; Stevenson, 2003; </w:t>
      </w:r>
      <w:r>
        <w:rPr>
          <w:rFonts w:ascii="Times New Roman" w:hAnsi="Times New Roman" w:cs="Times New Roman"/>
          <w:sz w:val="24"/>
          <w:szCs w:val="24"/>
        </w:rPr>
        <w:t>Maguire et al., 2016)</w:t>
      </w:r>
      <w:r w:rsidRPr="00665CBC">
        <w:rPr>
          <w:rFonts w:ascii="Times New Roman" w:hAnsi="Times New Roman" w:cs="Times New Roman"/>
          <w:sz w:val="24"/>
          <w:szCs w:val="24"/>
        </w:rPr>
        <w:t xml:space="preserve">.  Although </w:t>
      </w:r>
      <w:r>
        <w:rPr>
          <w:rFonts w:ascii="Times New Roman" w:hAnsi="Times New Roman" w:cs="Times New Roman"/>
          <w:sz w:val="24"/>
          <w:szCs w:val="24"/>
        </w:rPr>
        <w:t>individuals</w:t>
      </w:r>
      <w:r w:rsidRPr="00665CBC">
        <w:rPr>
          <w:rFonts w:ascii="Times New Roman" w:hAnsi="Times New Roman" w:cs="Times New Roman"/>
          <w:sz w:val="24"/>
          <w:szCs w:val="24"/>
        </w:rPr>
        <w:t xml:space="preserve"> livin</w:t>
      </w:r>
      <w:r>
        <w:rPr>
          <w:rFonts w:ascii="Times New Roman" w:hAnsi="Times New Roman" w:cs="Times New Roman"/>
          <w:sz w:val="24"/>
          <w:szCs w:val="24"/>
        </w:rPr>
        <w:t>g in the border areas of ROI (i.e., alongside the border with NI) during the period of the Troubles</w:t>
      </w:r>
      <w:r w:rsidRPr="00665CBC">
        <w:rPr>
          <w:rFonts w:ascii="Times New Roman" w:hAnsi="Times New Roman" w:cs="Times New Roman"/>
          <w:sz w:val="24"/>
          <w:szCs w:val="24"/>
        </w:rPr>
        <w:t xml:space="preserve"> may have experienced some of this unrest and violence, the majority of the ROI population would not ha</w:t>
      </w:r>
      <w:r>
        <w:rPr>
          <w:rFonts w:ascii="Times New Roman" w:hAnsi="Times New Roman" w:cs="Times New Roman"/>
          <w:sz w:val="24"/>
          <w:szCs w:val="24"/>
        </w:rPr>
        <w:t>ve been exposed.</w:t>
      </w:r>
    </w:p>
    <w:p w:rsidR="00C07BE6" w:rsidRDefault="00C07BE6" w:rsidP="00461457">
      <w:pPr>
        <w:spacing w:after="0" w:line="360" w:lineRule="auto"/>
        <w:rPr>
          <w:rFonts w:ascii="Times New Roman" w:hAnsi="Times New Roman"/>
          <w:sz w:val="24"/>
          <w:szCs w:val="24"/>
          <w:lang w:val="en-US"/>
        </w:rPr>
      </w:pPr>
    </w:p>
    <w:p w:rsidR="00C52B5F" w:rsidRDefault="00334E37" w:rsidP="00461457">
      <w:pPr>
        <w:spacing w:after="0" w:line="360" w:lineRule="auto"/>
        <w:rPr>
          <w:rFonts w:ascii="Times New Roman" w:hAnsi="Times New Roman"/>
          <w:sz w:val="24"/>
          <w:szCs w:val="24"/>
          <w:lang w:val="en-US"/>
        </w:rPr>
      </w:pPr>
      <w:r>
        <w:rPr>
          <w:rFonts w:ascii="Times New Roman" w:hAnsi="Times New Roman"/>
          <w:sz w:val="24"/>
          <w:szCs w:val="24"/>
          <w:lang w:val="en-US"/>
        </w:rPr>
        <w:t>Therefore</w:t>
      </w:r>
      <w:r w:rsidR="007708F3">
        <w:rPr>
          <w:rFonts w:ascii="Times New Roman" w:hAnsi="Times New Roman"/>
          <w:sz w:val="24"/>
          <w:szCs w:val="24"/>
          <w:lang w:val="en-US"/>
        </w:rPr>
        <w:t xml:space="preserve">, </w:t>
      </w:r>
      <w:r>
        <w:rPr>
          <w:rFonts w:ascii="Times New Roman" w:hAnsi="Times New Roman"/>
          <w:sz w:val="24"/>
          <w:szCs w:val="24"/>
          <w:lang w:val="en-US"/>
        </w:rPr>
        <w:t xml:space="preserve">given the </w:t>
      </w:r>
      <w:r w:rsidR="00C776F4">
        <w:rPr>
          <w:rFonts w:ascii="Times New Roman" w:hAnsi="Times New Roman"/>
          <w:sz w:val="24"/>
          <w:szCs w:val="24"/>
          <w:lang w:val="en-US"/>
        </w:rPr>
        <w:t>country-level variations</w:t>
      </w:r>
      <w:r>
        <w:rPr>
          <w:rFonts w:ascii="Times New Roman" w:hAnsi="Times New Roman"/>
          <w:sz w:val="24"/>
          <w:szCs w:val="24"/>
          <w:lang w:val="en-US"/>
        </w:rPr>
        <w:t xml:space="preserve"> in risk factor </w:t>
      </w:r>
      <w:r w:rsidR="007708F3">
        <w:rPr>
          <w:rFonts w:ascii="Times New Roman" w:hAnsi="Times New Roman"/>
          <w:sz w:val="24"/>
          <w:szCs w:val="24"/>
          <w:lang w:val="en-US"/>
        </w:rPr>
        <w:t>prevalence</w:t>
      </w:r>
      <w:r>
        <w:rPr>
          <w:rFonts w:ascii="Times New Roman" w:hAnsi="Times New Roman"/>
          <w:sz w:val="24"/>
          <w:szCs w:val="24"/>
          <w:lang w:val="en-US"/>
        </w:rPr>
        <w:t xml:space="preserve"> </w:t>
      </w:r>
      <w:r w:rsidR="007708F3">
        <w:rPr>
          <w:rFonts w:ascii="Times New Roman" w:hAnsi="Times New Roman"/>
          <w:sz w:val="24"/>
          <w:szCs w:val="24"/>
          <w:lang w:val="en-US"/>
        </w:rPr>
        <w:t xml:space="preserve">shown in previous studies, it is reasonable to </w:t>
      </w:r>
      <w:proofErr w:type="spellStart"/>
      <w:r w:rsidR="00C776F4">
        <w:rPr>
          <w:rFonts w:ascii="Times New Roman" w:hAnsi="Times New Roman"/>
          <w:sz w:val="24"/>
          <w:szCs w:val="24"/>
          <w:lang w:val="en-US"/>
        </w:rPr>
        <w:t>hypothesise</w:t>
      </w:r>
      <w:proofErr w:type="spellEnd"/>
      <w:r w:rsidR="007708F3">
        <w:rPr>
          <w:rFonts w:ascii="Times New Roman" w:hAnsi="Times New Roman"/>
          <w:sz w:val="24"/>
          <w:szCs w:val="24"/>
          <w:lang w:val="en-US"/>
        </w:rPr>
        <w:t xml:space="preserve"> some differences in how they </w:t>
      </w:r>
      <w:r>
        <w:rPr>
          <w:rFonts w:ascii="Times New Roman" w:hAnsi="Times New Roman"/>
          <w:sz w:val="24"/>
          <w:szCs w:val="24"/>
          <w:lang w:val="en-US"/>
        </w:rPr>
        <w:t xml:space="preserve">may </w:t>
      </w:r>
      <w:r w:rsidR="007708F3">
        <w:rPr>
          <w:rFonts w:ascii="Times New Roman" w:hAnsi="Times New Roman"/>
          <w:sz w:val="24"/>
          <w:szCs w:val="24"/>
          <w:lang w:val="en-US"/>
        </w:rPr>
        <w:t>impact on CHD-related disability.</w:t>
      </w:r>
    </w:p>
    <w:p w:rsidR="006A2636" w:rsidRDefault="006A2636" w:rsidP="00461457">
      <w:pPr>
        <w:spacing w:after="0" w:line="360" w:lineRule="auto"/>
        <w:rPr>
          <w:rFonts w:ascii="Times New Roman" w:hAnsi="Times New Roman" w:cs="Times New Roman"/>
          <w:sz w:val="24"/>
          <w:szCs w:val="24"/>
          <w:lang w:val="en-US"/>
        </w:rPr>
      </w:pPr>
    </w:p>
    <w:p w:rsidR="00BC53DF" w:rsidRPr="00BC53DF" w:rsidRDefault="00BC53DF" w:rsidP="00461457">
      <w:pPr>
        <w:spacing w:after="0" w:line="360" w:lineRule="auto"/>
        <w:rPr>
          <w:rFonts w:ascii="Times New Roman" w:hAnsi="Times New Roman" w:cs="Times New Roman"/>
          <w:i/>
          <w:sz w:val="24"/>
          <w:szCs w:val="24"/>
          <w:lang w:val="en-US"/>
        </w:rPr>
      </w:pPr>
      <w:r w:rsidRPr="00BC53DF">
        <w:rPr>
          <w:rFonts w:ascii="Times New Roman" w:hAnsi="Times New Roman" w:cs="Times New Roman"/>
          <w:i/>
          <w:sz w:val="24"/>
          <w:szCs w:val="24"/>
          <w:lang w:val="en-US"/>
        </w:rPr>
        <w:t>Socioeconomic differences as risk factors for CHD and CHD-related disability</w:t>
      </w:r>
    </w:p>
    <w:p w:rsidR="009872B8" w:rsidRDefault="005A0B6C"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A</w:t>
      </w:r>
      <w:r w:rsidR="00E62283">
        <w:rPr>
          <w:rFonts w:ascii="Times New Roman" w:hAnsi="Times New Roman" w:cs="Times New Roman"/>
          <w:sz w:val="24"/>
          <w:szCs w:val="24"/>
          <w:lang w:val="en-US"/>
        </w:rPr>
        <w:t xml:space="preserve"> </w:t>
      </w:r>
      <w:r w:rsidR="004A2BD7">
        <w:rPr>
          <w:rFonts w:ascii="Times New Roman" w:hAnsi="Times New Roman" w:cs="Times New Roman"/>
          <w:sz w:val="24"/>
          <w:szCs w:val="24"/>
          <w:lang w:val="en-US"/>
        </w:rPr>
        <w:t xml:space="preserve">social </w:t>
      </w:r>
      <w:r w:rsidR="00E62283">
        <w:rPr>
          <w:rFonts w:ascii="Times New Roman" w:hAnsi="Times New Roman" w:cs="Times New Roman"/>
          <w:sz w:val="24"/>
          <w:szCs w:val="24"/>
          <w:lang w:val="en-US"/>
        </w:rPr>
        <w:t xml:space="preserve">gradient </w:t>
      </w:r>
      <w:r w:rsidR="00DE5CD5">
        <w:rPr>
          <w:rFonts w:ascii="Times New Roman" w:hAnsi="Times New Roman" w:cs="Times New Roman"/>
          <w:sz w:val="24"/>
          <w:szCs w:val="24"/>
          <w:lang w:val="en-US"/>
        </w:rPr>
        <w:t xml:space="preserve">in cardiovascular </w:t>
      </w:r>
      <w:r w:rsidR="000E57C3">
        <w:rPr>
          <w:rFonts w:ascii="Times New Roman" w:hAnsi="Times New Roman" w:cs="Times New Roman"/>
          <w:sz w:val="24"/>
          <w:szCs w:val="24"/>
          <w:lang w:val="en-US"/>
        </w:rPr>
        <w:t>morbidity and mortality</w:t>
      </w:r>
      <w:r w:rsidR="00E62283">
        <w:rPr>
          <w:rFonts w:ascii="Times New Roman" w:hAnsi="Times New Roman" w:cs="Times New Roman"/>
          <w:sz w:val="24"/>
          <w:szCs w:val="24"/>
          <w:lang w:val="en-US"/>
        </w:rPr>
        <w:t xml:space="preserve"> is evident in most developed countries</w:t>
      </w:r>
      <w:r w:rsidR="00382E95">
        <w:rPr>
          <w:rFonts w:ascii="Times New Roman" w:hAnsi="Times New Roman" w:cs="Times New Roman"/>
          <w:sz w:val="24"/>
          <w:szCs w:val="24"/>
          <w:lang w:val="en-US"/>
        </w:rPr>
        <w:t xml:space="preserve"> (Wilkinson &amp; </w:t>
      </w:r>
      <w:r w:rsidR="00382E95" w:rsidRPr="00922329">
        <w:rPr>
          <w:rFonts w:ascii="Times New Roman" w:hAnsi="Times New Roman" w:cs="Times New Roman"/>
          <w:sz w:val="24"/>
          <w:szCs w:val="24"/>
          <w:lang w:val="en-US"/>
        </w:rPr>
        <w:t>Marmot</w:t>
      </w:r>
      <w:r w:rsidR="00382E95">
        <w:rPr>
          <w:rFonts w:ascii="Times New Roman" w:hAnsi="Times New Roman" w:cs="Times New Roman"/>
          <w:sz w:val="24"/>
          <w:szCs w:val="24"/>
          <w:lang w:val="en-US"/>
        </w:rPr>
        <w:t>, 2003)</w:t>
      </w:r>
      <w:r>
        <w:rPr>
          <w:rFonts w:ascii="Times New Roman" w:hAnsi="Times New Roman" w:cs="Times New Roman"/>
          <w:sz w:val="24"/>
          <w:szCs w:val="24"/>
          <w:lang w:val="en-US"/>
        </w:rPr>
        <w:t>,</w:t>
      </w:r>
      <w:r w:rsidR="00E62283">
        <w:rPr>
          <w:rFonts w:ascii="Times New Roman" w:hAnsi="Times New Roman" w:cs="Times New Roman"/>
          <w:sz w:val="24"/>
          <w:szCs w:val="24"/>
          <w:lang w:val="en-US"/>
        </w:rPr>
        <w:t xml:space="preserve"> </w:t>
      </w:r>
      <w:r>
        <w:rPr>
          <w:rFonts w:ascii="Times New Roman" w:hAnsi="Times New Roman" w:cs="Times New Roman"/>
          <w:sz w:val="24"/>
          <w:szCs w:val="24"/>
          <w:lang w:val="en-US"/>
        </w:rPr>
        <w:t>and it</w:t>
      </w:r>
      <w:r w:rsidR="00E62283" w:rsidRPr="00F5673F">
        <w:rPr>
          <w:rFonts w:ascii="Times New Roman" w:hAnsi="Times New Roman" w:cs="Times New Roman"/>
          <w:sz w:val="24"/>
          <w:szCs w:val="24"/>
          <w:lang w:val="en-US"/>
        </w:rPr>
        <w:t xml:space="preserve"> has</w:t>
      </w:r>
      <w:r w:rsidR="00E62283">
        <w:rPr>
          <w:rFonts w:ascii="Times New Roman" w:hAnsi="Times New Roman" w:cs="Times New Roman"/>
          <w:sz w:val="24"/>
          <w:szCs w:val="24"/>
          <w:lang w:val="en-US"/>
        </w:rPr>
        <w:t xml:space="preserve"> </w:t>
      </w:r>
      <w:r w:rsidR="00E62283" w:rsidRPr="00F5673F">
        <w:rPr>
          <w:rFonts w:ascii="Times New Roman" w:hAnsi="Times New Roman" w:cs="Times New Roman"/>
          <w:sz w:val="24"/>
          <w:szCs w:val="24"/>
          <w:lang w:val="en-US"/>
        </w:rPr>
        <w:t xml:space="preserve">been suggested that some (though not all) </w:t>
      </w:r>
      <w:r w:rsidR="00E62283" w:rsidRPr="00F5673F">
        <w:rPr>
          <w:rFonts w:ascii="Times New Roman" w:hAnsi="Times New Roman" w:cs="Times New Roman"/>
          <w:sz w:val="24"/>
          <w:szCs w:val="24"/>
        </w:rPr>
        <w:t>of the socioeconomic inequality in cardiovascular mortality and disability can be explained by a social gradien</w:t>
      </w:r>
      <w:r w:rsidR="00BC497D">
        <w:rPr>
          <w:rFonts w:ascii="Times New Roman" w:hAnsi="Times New Roman" w:cs="Times New Roman"/>
          <w:sz w:val="24"/>
          <w:szCs w:val="24"/>
        </w:rPr>
        <w:t>t in conventional risk factors</w:t>
      </w:r>
      <w:r w:rsidR="00466F10">
        <w:rPr>
          <w:rFonts w:ascii="Times New Roman" w:hAnsi="Times New Roman" w:cs="Times New Roman"/>
          <w:sz w:val="24"/>
          <w:szCs w:val="24"/>
        </w:rPr>
        <w:t xml:space="preserve"> such as</w:t>
      </w:r>
      <w:r w:rsidR="004C6211">
        <w:rPr>
          <w:rFonts w:ascii="Times New Roman" w:hAnsi="Times New Roman" w:cs="Times New Roman"/>
          <w:sz w:val="24"/>
          <w:szCs w:val="24"/>
        </w:rPr>
        <w:t xml:space="preserve"> smoking and obesity</w:t>
      </w:r>
      <w:r w:rsidR="00382E95">
        <w:rPr>
          <w:rFonts w:ascii="Times New Roman" w:hAnsi="Times New Roman" w:cs="Times New Roman"/>
          <w:sz w:val="24"/>
          <w:szCs w:val="24"/>
        </w:rPr>
        <w:t xml:space="preserve"> </w:t>
      </w:r>
      <w:r w:rsidR="005D0A18">
        <w:rPr>
          <w:rFonts w:ascii="Times New Roman" w:hAnsi="Times New Roman" w:cs="Times New Roman"/>
          <w:sz w:val="24"/>
          <w:szCs w:val="24"/>
        </w:rPr>
        <w:t>(</w:t>
      </w:r>
      <w:r w:rsidR="00382E95" w:rsidRPr="004E62A0">
        <w:rPr>
          <w:rFonts w:ascii="Times New Roman" w:hAnsi="Times New Roman" w:cs="Times New Roman"/>
          <w:sz w:val="24"/>
          <w:szCs w:val="24"/>
        </w:rPr>
        <w:t>Beauchamp et al., 2010)</w:t>
      </w:r>
      <w:r w:rsidR="004C6211" w:rsidRPr="004E62A0">
        <w:rPr>
          <w:rFonts w:ascii="Times New Roman" w:hAnsi="Times New Roman" w:cs="Times New Roman"/>
          <w:sz w:val="24"/>
          <w:szCs w:val="24"/>
        </w:rPr>
        <w:t>.</w:t>
      </w:r>
      <w:r w:rsidR="007708F3">
        <w:rPr>
          <w:rFonts w:ascii="Times New Roman" w:hAnsi="Times New Roman" w:cs="Times New Roman"/>
          <w:sz w:val="24"/>
          <w:szCs w:val="24"/>
        </w:rPr>
        <w:t xml:space="preserve">  </w:t>
      </w:r>
      <w:r w:rsidR="005B6553">
        <w:rPr>
          <w:rFonts w:ascii="Times New Roman" w:hAnsi="Times New Roman" w:cs="Times New Roman"/>
          <w:sz w:val="24"/>
          <w:szCs w:val="24"/>
        </w:rPr>
        <w:t>Therefore, it is not unreasonable to anticipate some socioeconomic differentials in CHD prevalence, and in the impact of risk factors on CHD-related disability when stratified by socioeconomic position (SEP).  Furthermore, d</w:t>
      </w:r>
      <w:r w:rsidR="00555383">
        <w:rPr>
          <w:rFonts w:ascii="Times New Roman" w:hAnsi="Times New Roman" w:cs="Times New Roman"/>
          <w:sz w:val="24"/>
          <w:szCs w:val="24"/>
        </w:rPr>
        <w:t xml:space="preserve">ifferences in </w:t>
      </w:r>
      <w:r w:rsidR="005B6553">
        <w:rPr>
          <w:rFonts w:ascii="Times New Roman" w:hAnsi="Times New Roman" w:cs="Times New Roman"/>
          <w:sz w:val="24"/>
          <w:szCs w:val="24"/>
        </w:rPr>
        <w:t xml:space="preserve">access to free </w:t>
      </w:r>
      <w:r w:rsidR="00555383">
        <w:rPr>
          <w:rFonts w:ascii="Times New Roman" w:hAnsi="Times New Roman" w:cs="Times New Roman"/>
          <w:sz w:val="24"/>
          <w:szCs w:val="24"/>
        </w:rPr>
        <w:t xml:space="preserve">healthcare </w:t>
      </w:r>
      <w:r w:rsidR="00A731EA">
        <w:rPr>
          <w:rFonts w:ascii="Times New Roman" w:hAnsi="Times New Roman" w:cs="Times New Roman"/>
          <w:sz w:val="24"/>
          <w:szCs w:val="24"/>
        </w:rPr>
        <w:t>between the two countries</w:t>
      </w:r>
      <w:r w:rsidR="00BC53DF">
        <w:rPr>
          <w:rFonts w:ascii="Times New Roman" w:hAnsi="Times New Roman" w:cs="Times New Roman"/>
          <w:sz w:val="24"/>
          <w:szCs w:val="24"/>
        </w:rPr>
        <w:t xml:space="preserve"> may </w:t>
      </w:r>
      <w:r w:rsidR="005B6553">
        <w:rPr>
          <w:rFonts w:ascii="Times New Roman" w:hAnsi="Times New Roman" w:cs="Times New Roman"/>
          <w:sz w:val="24"/>
          <w:szCs w:val="24"/>
        </w:rPr>
        <w:t>also be an important determinant of CHD and CHD-related disability.</w:t>
      </w:r>
    </w:p>
    <w:p w:rsidR="00B25DE6" w:rsidRDefault="00B25DE6" w:rsidP="00461457">
      <w:pPr>
        <w:spacing w:after="0" w:line="360" w:lineRule="auto"/>
        <w:rPr>
          <w:rFonts w:ascii="Times New Roman" w:hAnsi="Times New Roman" w:cs="Times New Roman"/>
          <w:sz w:val="24"/>
          <w:szCs w:val="24"/>
          <w:lang w:val="en-US"/>
        </w:rPr>
      </w:pPr>
    </w:p>
    <w:p w:rsidR="008477B2"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The</w:t>
      </w:r>
      <w:r w:rsidR="005A0B6C">
        <w:rPr>
          <w:rFonts w:ascii="Times New Roman" w:hAnsi="Times New Roman" w:cs="Times New Roman"/>
          <w:sz w:val="24"/>
          <w:szCs w:val="24"/>
          <w:lang w:val="en-US"/>
        </w:rPr>
        <w:t>refore, the</w:t>
      </w:r>
      <w:r>
        <w:rPr>
          <w:rFonts w:ascii="Times New Roman" w:hAnsi="Times New Roman" w:cs="Times New Roman"/>
          <w:sz w:val="24"/>
          <w:szCs w:val="24"/>
          <w:lang w:val="en-US"/>
        </w:rPr>
        <w:t xml:space="preserve"> </w:t>
      </w:r>
      <w:r w:rsidRPr="00F5673F">
        <w:rPr>
          <w:rFonts w:ascii="Times New Roman" w:hAnsi="Times New Roman" w:cs="Times New Roman"/>
          <w:sz w:val="24"/>
          <w:szCs w:val="24"/>
          <w:lang w:val="en-US"/>
        </w:rPr>
        <w:t>objectives of the study were:</w:t>
      </w:r>
      <w:r w:rsidR="00152733">
        <w:rPr>
          <w:rFonts w:ascii="Times New Roman" w:hAnsi="Times New Roman" w:cs="Times New Roman"/>
          <w:sz w:val="24"/>
          <w:szCs w:val="24"/>
          <w:lang w:val="en-US"/>
        </w:rPr>
        <w:t xml:space="preserve"> </w:t>
      </w:r>
      <w:proofErr w:type="spellStart"/>
      <w:r w:rsidR="00152733">
        <w:rPr>
          <w:rFonts w:ascii="Times New Roman" w:hAnsi="Times New Roman" w:cs="Times New Roman"/>
          <w:sz w:val="24"/>
          <w:szCs w:val="24"/>
          <w:lang w:val="en-US"/>
        </w:rPr>
        <w:t>i</w:t>
      </w:r>
      <w:proofErr w:type="spellEnd"/>
      <w:r w:rsidR="00152733">
        <w:rPr>
          <w:rFonts w:ascii="Times New Roman" w:hAnsi="Times New Roman" w:cs="Times New Roman"/>
          <w:sz w:val="24"/>
          <w:szCs w:val="24"/>
          <w:lang w:val="en-US"/>
        </w:rPr>
        <w:t xml:space="preserve">) </w:t>
      </w:r>
      <w:r w:rsidR="006A7F85">
        <w:rPr>
          <w:rFonts w:ascii="Times New Roman" w:hAnsi="Times New Roman" w:cs="Times New Roman"/>
          <w:sz w:val="24"/>
          <w:szCs w:val="24"/>
          <w:lang w:val="en-US"/>
        </w:rPr>
        <w:t>t</w:t>
      </w:r>
      <w:r w:rsidR="006A7F85" w:rsidRPr="00152733">
        <w:rPr>
          <w:rFonts w:ascii="Times New Roman" w:hAnsi="Times New Roman" w:cs="Times New Roman"/>
          <w:sz w:val="24"/>
          <w:szCs w:val="24"/>
          <w:lang w:val="en-US"/>
        </w:rPr>
        <w:t xml:space="preserve">o </w:t>
      </w:r>
      <w:r w:rsidRPr="00152733">
        <w:rPr>
          <w:rFonts w:ascii="Times New Roman" w:hAnsi="Times New Roman" w:cs="Times New Roman"/>
          <w:sz w:val="24"/>
          <w:szCs w:val="24"/>
          <w:lang w:val="en-US"/>
        </w:rPr>
        <w:t>assess the extent to which disability associated with CHD varies by age, gender</w:t>
      </w:r>
      <w:r w:rsidR="002D1C7F">
        <w:rPr>
          <w:rFonts w:ascii="Times New Roman" w:hAnsi="Times New Roman" w:cs="Times New Roman"/>
          <w:sz w:val="24"/>
          <w:szCs w:val="24"/>
          <w:lang w:val="en-US"/>
        </w:rPr>
        <w:t>,</w:t>
      </w:r>
      <w:r w:rsidRPr="00152733">
        <w:rPr>
          <w:rFonts w:ascii="Times New Roman" w:hAnsi="Times New Roman" w:cs="Times New Roman"/>
          <w:sz w:val="24"/>
          <w:szCs w:val="24"/>
          <w:lang w:val="en-US"/>
        </w:rPr>
        <w:t xml:space="preserve"> and SEP in ROI and NI</w:t>
      </w:r>
      <w:r w:rsidR="00CD61C7">
        <w:rPr>
          <w:rFonts w:ascii="Times New Roman" w:hAnsi="Times New Roman" w:cs="Times New Roman"/>
          <w:sz w:val="24"/>
          <w:szCs w:val="24"/>
          <w:lang w:val="en-US"/>
        </w:rPr>
        <w:t>,</w:t>
      </w:r>
      <w:r w:rsidR="00152733">
        <w:rPr>
          <w:rFonts w:ascii="Times New Roman" w:hAnsi="Times New Roman" w:cs="Times New Roman"/>
          <w:sz w:val="24"/>
          <w:szCs w:val="24"/>
          <w:lang w:val="en-US"/>
        </w:rPr>
        <w:t>;</w:t>
      </w:r>
      <w:r w:rsidR="006D1949">
        <w:rPr>
          <w:rFonts w:ascii="Times New Roman" w:hAnsi="Times New Roman" w:cs="Times New Roman"/>
          <w:sz w:val="24"/>
          <w:szCs w:val="24"/>
          <w:lang w:val="en-US"/>
        </w:rPr>
        <w:t xml:space="preserve"> </w:t>
      </w:r>
      <w:r w:rsidR="006A7F85">
        <w:rPr>
          <w:rFonts w:ascii="Times New Roman" w:hAnsi="Times New Roman" w:cs="Times New Roman"/>
          <w:sz w:val="24"/>
          <w:szCs w:val="24"/>
          <w:lang w:val="en-US"/>
        </w:rPr>
        <w:t xml:space="preserve">and </w:t>
      </w:r>
      <w:r w:rsidR="00152733">
        <w:rPr>
          <w:rFonts w:ascii="Times New Roman" w:hAnsi="Times New Roman" w:cs="Times New Roman"/>
          <w:sz w:val="24"/>
          <w:szCs w:val="24"/>
          <w:lang w:val="en-US"/>
        </w:rPr>
        <w:t xml:space="preserve">ii) </w:t>
      </w:r>
      <w:r w:rsidR="006A7F85">
        <w:rPr>
          <w:rFonts w:ascii="Times New Roman" w:hAnsi="Times New Roman" w:cs="Times New Roman"/>
          <w:sz w:val="24"/>
          <w:szCs w:val="24"/>
          <w:lang w:val="en-US"/>
        </w:rPr>
        <w:t>t</w:t>
      </w:r>
      <w:r w:rsidR="006A7F85" w:rsidRPr="00152733">
        <w:rPr>
          <w:rFonts w:ascii="Times New Roman" w:hAnsi="Times New Roman" w:cs="Times New Roman"/>
          <w:sz w:val="24"/>
          <w:szCs w:val="24"/>
          <w:lang w:val="en-US"/>
        </w:rPr>
        <w:t xml:space="preserve">o </w:t>
      </w:r>
      <w:r w:rsidRPr="00152733">
        <w:rPr>
          <w:rFonts w:ascii="Times New Roman" w:hAnsi="Times New Roman" w:cs="Times New Roman"/>
          <w:sz w:val="24"/>
          <w:szCs w:val="24"/>
          <w:lang w:val="en-US"/>
        </w:rPr>
        <w:t xml:space="preserve">compare the contribution of risk factors including smoking, diabetes, obesity, physical </w:t>
      </w:r>
      <w:r w:rsidRPr="00D37432">
        <w:rPr>
          <w:rFonts w:ascii="Times New Roman" w:hAnsi="Times New Roman" w:cs="Times New Roman"/>
          <w:sz w:val="24"/>
          <w:szCs w:val="24"/>
          <w:lang w:val="en-US"/>
        </w:rPr>
        <w:t xml:space="preserve">inactivity, and depression to </w:t>
      </w:r>
      <w:r w:rsidR="00753A5D" w:rsidRPr="00D37432">
        <w:rPr>
          <w:rFonts w:ascii="Times New Roman" w:hAnsi="Times New Roman" w:cs="Times New Roman"/>
          <w:sz w:val="24"/>
          <w:szCs w:val="24"/>
          <w:lang w:val="en-US"/>
        </w:rPr>
        <w:t>CHD-related</w:t>
      </w:r>
      <w:r w:rsidRPr="00D37432">
        <w:rPr>
          <w:rFonts w:ascii="Times New Roman" w:hAnsi="Times New Roman" w:cs="Times New Roman"/>
          <w:sz w:val="24"/>
          <w:szCs w:val="24"/>
          <w:lang w:val="en-US"/>
        </w:rPr>
        <w:t xml:space="preserve"> disabilit</w:t>
      </w:r>
      <w:r w:rsidR="00D37432" w:rsidRPr="00D37432">
        <w:rPr>
          <w:rFonts w:ascii="Times New Roman" w:hAnsi="Times New Roman" w:cs="Times New Roman"/>
          <w:sz w:val="24"/>
          <w:szCs w:val="24"/>
          <w:lang w:val="en-US"/>
        </w:rPr>
        <w:t xml:space="preserve">y, </w:t>
      </w:r>
      <w:r w:rsidR="00D37432" w:rsidRPr="00D37432">
        <w:rPr>
          <w:rFonts w:ascii="Times New Roman" w:hAnsi="Times New Roman" w:cs="Times New Roman"/>
          <w:sz w:val="24"/>
          <w:szCs w:val="24"/>
        </w:rPr>
        <w:t>stratified by age, gender, and SEP.</w:t>
      </w:r>
    </w:p>
    <w:p w:rsidR="00BC513F" w:rsidRDefault="00BC513F" w:rsidP="00461457">
      <w:pPr>
        <w:spacing w:after="0" w:line="360" w:lineRule="auto"/>
        <w:rPr>
          <w:rFonts w:ascii="Times New Roman" w:hAnsi="Times New Roman" w:cs="Times New Roman"/>
          <w:sz w:val="24"/>
          <w:szCs w:val="24"/>
        </w:rPr>
      </w:pPr>
    </w:p>
    <w:p w:rsidR="007D4372" w:rsidRPr="008477B2" w:rsidRDefault="00152733" w:rsidP="00461457">
      <w:pPr>
        <w:spacing w:after="0" w:line="360" w:lineRule="auto"/>
        <w:rPr>
          <w:rFonts w:ascii="Times New Roman" w:hAnsi="Times New Roman" w:cs="Times New Roman"/>
          <w:b/>
          <w:sz w:val="28"/>
          <w:szCs w:val="28"/>
        </w:rPr>
      </w:pPr>
      <w:r w:rsidRPr="008477B2">
        <w:rPr>
          <w:rFonts w:ascii="Times New Roman" w:hAnsi="Times New Roman" w:cs="Times New Roman"/>
          <w:b/>
          <w:sz w:val="28"/>
          <w:szCs w:val="28"/>
        </w:rPr>
        <w:t>Method</w:t>
      </w:r>
      <w:bookmarkStart w:id="1" w:name="_Toc387156362"/>
      <w:r w:rsidR="00A35301">
        <w:rPr>
          <w:rFonts w:ascii="Times New Roman" w:hAnsi="Times New Roman" w:cs="Times New Roman"/>
          <w:b/>
          <w:sz w:val="28"/>
          <w:szCs w:val="28"/>
        </w:rPr>
        <w:t>s</w:t>
      </w:r>
    </w:p>
    <w:p w:rsidR="00E62283" w:rsidRPr="008477B2" w:rsidRDefault="00E62283" w:rsidP="00461457">
      <w:pPr>
        <w:spacing w:after="0" w:line="360" w:lineRule="auto"/>
        <w:rPr>
          <w:rFonts w:ascii="Times New Roman" w:hAnsi="Times New Roman" w:cs="Times New Roman"/>
          <w:i/>
          <w:sz w:val="24"/>
          <w:szCs w:val="24"/>
        </w:rPr>
      </w:pPr>
      <w:r w:rsidRPr="008477B2">
        <w:rPr>
          <w:rFonts w:ascii="Times New Roman" w:hAnsi="Times New Roman" w:cs="Times New Roman"/>
          <w:i/>
          <w:sz w:val="24"/>
          <w:szCs w:val="24"/>
        </w:rPr>
        <w:t>Samples</w:t>
      </w:r>
    </w:p>
    <w:p w:rsidR="00EF5811" w:rsidRDefault="00DE5CD5"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E62283">
        <w:rPr>
          <w:rFonts w:ascii="Times New Roman" w:hAnsi="Times New Roman" w:cs="Times New Roman"/>
          <w:sz w:val="24"/>
          <w:szCs w:val="24"/>
        </w:rPr>
        <w:t xml:space="preserve">nformation on </w:t>
      </w:r>
      <w:r w:rsidR="00753A5D">
        <w:rPr>
          <w:rFonts w:ascii="Times New Roman" w:hAnsi="Times New Roman" w:cs="Times New Roman"/>
          <w:sz w:val="24"/>
          <w:szCs w:val="24"/>
        </w:rPr>
        <w:t>CHD-related</w:t>
      </w:r>
      <w:r w:rsidR="00E62283">
        <w:rPr>
          <w:rFonts w:ascii="Times New Roman" w:hAnsi="Times New Roman" w:cs="Times New Roman"/>
          <w:sz w:val="24"/>
          <w:szCs w:val="24"/>
        </w:rPr>
        <w:t xml:space="preserve"> disability and risk factor prevalence, for estimation of relative </w:t>
      </w:r>
      <w:r w:rsidR="002D1C7F">
        <w:rPr>
          <w:rFonts w:ascii="Times New Roman" w:hAnsi="Times New Roman" w:cs="Times New Roman"/>
          <w:sz w:val="24"/>
          <w:szCs w:val="24"/>
        </w:rPr>
        <w:t>risks</w:t>
      </w:r>
      <w:r w:rsidR="00CD61C7">
        <w:rPr>
          <w:rFonts w:ascii="Times New Roman" w:hAnsi="Times New Roman" w:cs="Times New Roman"/>
          <w:sz w:val="24"/>
          <w:szCs w:val="24"/>
        </w:rPr>
        <w:t>,</w:t>
      </w:r>
      <w:r w:rsidR="002D1C7F">
        <w:rPr>
          <w:rFonts w:ascii="Times New Roman" w:hAnsi="Times New Roman" w:cs="Times New Roman"/>
          <w:sz w:val="24"/>
          <w:szCs w:val="24"/>
        </w:rPr>
        <w:t xml:space="preserve"> </w:t>
      </w:r>
      <w:r w:rsidR="00E62283">
        <w:rPr>
          <w:rFonts w:ascii="Times New Roman" w:hAnsi="Times New Roman" w:cs="Times New Roman"/>
          <w:sz w:val="24"/>
          <w:szCs w:val="24"/>
        </w:rPr>
        <w:t>were</w:t>
      </w:r>
      <w:r>
        <w:rPr>
          <w:rFonts w:ascii="Times New Roman" w:hAnsi="Times New Roman" w:cs="Times New Roman"/>
          <w:sz w:val="24"/>
          <w:szCs w:val="24"/>
        </w:rPr>
        <w:t xml:space="preserve"> sourced from high quality national</w:t>
      </w:r>
      <w:r w:rsidR="009407F0">
        <w:rPr>
          <w:rFonts w:ascii="Times New Roman" w:hAnsi="Times New Roman" w:cs="Times New Roman"/>
          <w:sz w:val="24"/>
          <w:szCs w:val="24"/>
        </w:rPr>
        <w:t>ly representative</w:t>
      </w:r>
      <w:r>
        <w:rPr>
          <w:rFonts w:ascii="Times New Roman" w:hAnsi="Times New Roman" w:cs="Times New Roman"/>
          <w:sz w:val="24"/>
          <w:szCs w:val="24"/>
        </w:rPr>
        <w:t xml:space="preserve"> studies</w:t>
      </w:r>
      <w:r w:rsidR="004D072A">
        <w:rPr>
          <w:rFonts w:ascii="Times New Roman" w:hAnsi="Times New Roman" w:cs="Times New Roman"/>
          <w:sz w:val="24"/>
          <w:szCs w:val="24"/>
        </w:rPr>
        <w:t>.</w:t>
      </w:r>
    </w:p>
    <w:p w:rsidR="004D072A" w:rsidRDefault="004D072A" w:rsidP="00461457">
      <w:pPr>
        <w:spacing w:after="0" w:line="360" w:lineRule="auto"/>
        <w:rPr>
          <w:rFonts w:ascii="Times New Roman" w:hAnsi="Times New Roman" w:cs="Times New Roman"/>
          <w:sz w:val="24"/>
          <w:szCs w:val="24"/>
        </w:rPr>
      </w:pPr>
    </w:p>
    <w:p w:rsidR="00E62283" w:rsidRPr="0052010E" w:rsidRDefault="00E62283" w:rsidP="00461457">
      <w:pPr>
        <w:spacing w:after="0" w:line="360" w:lineRule="auto"/>
        <w:rPr>
          <w:rFonts w:ascii="Times New Roman" w:hAnsi="Times New Roman" w:cs="Times New Roman"/>
          <w:sz w:val="24"/>
          <w:szCs w:val="24"/>
        </w:rPr>
      </w:pPr>
      <w:r w:rsidRPr="008477B2">
        <w:rPr>
          <w:rFonts w:ascii="Times New Roman" w:eastAsia="Times New Roman" w:hAnsi="Times New Roman" w:cs="Times New Roman"/>
          <w:sz w:val="24"/>
          <w:szCs w:val="24"/>
          <w:lang w:val="en-US"/>
        </w:rPr>
        <w:t>The Irish Longitudinal Study on Ageing (</w:t>
      </w:r>
      <w:r w:rsidRPr="008477B2">
        <w:rPr>
          <w:rFonts w:ascii="Times New Roman" w:hAnsi="Times New Roman" w:cs="Times New Roman"/>
          <w:sz w:val="24"/>
          <w:szCs w:val="24"/>
        </w:rPr>
        <w:t>TILDA)</w:t>
      </w:r>
      <w:r w:rsidR="005A0B6C">
        <w:rPr>
          <w:rFonts w:ascii="Times New Roman" w:hAnsi="Times New Roman" w:cs="Times New Roman"/>
          <w:sz w:val="24"/>
          <w:szCs w:val="24"/>
        </w:rPr>
        <w:t xml:space="preserve"> </w:t>
      </w:r>
      <w:r>
        <w:rPr>
          <w:rFonts w:ascii="Times New Roman" w:hAnsi="Times New Roman" w:cs="Times New Roman"/>
          <w:sz w:val="24"/>
          <w:szCs w:val="24"/>
        </w:rPr>
        <w:t xml:space="preserve">is a cohort study of ageing that is being carried out in </w:t>
      </w:r>
      <w:r w:rsidR="005D0A18">
        <w:rPr>
          <w:rFonts w:ascii="Times New Roman" w:hAnsi="Times New Roman" w:cs="Times New Roman"/>
          <w:sz w:val="24"/>
          <w:szCs w:val="24"/>
        </w:rPr>
        <w:t>ROI</w:t>
      </w:r>
      <w:r w:rsidR="00DD308C">
        <w:rPr>
          <w:rFonts w:ascii="Times New Roman" w:hAnsi="Times New Roman" w:cs="Times New Roman"/>
          <w:sz w:val="24"/>
          <w:szCs w:val="24"/>
        </w:rPr>
        <w:t xml:space="preserve"> among a sample of more than 8</w:t>
      </w:r>
      <w:r w:rsidR="005D0A18">
        <w:rPr>
          <w:rFonts w:ascii="Times New Roman" w:hAnsi="Times New Roman" w:cs="Times New Roman"/>
          <w:sz w:val="24"/>
          <w:szCs w:val="24"/>
        </w:rPr>
        <w:t>,</w:t>
      </w:r>
      <w:r w:rsidR="006A7F85">
        <w:rPr>
          <w:rFonts w:ascii="Times New Roman" w:hAnsi="Times New Roman" w:cs="Times New Roman"/>
          <w:sz w:val="24"/>
          <w:szCs w:val="24"/>
        </w:rPr>
        <w:t xml:space="preserve">000 </w:t>
      </w:r>
      <w:r w:rsidR="00003803">
        <w:rPr>
          <w:rFonts w:ascii="Times New Roman" w:hAnsi="Times New Roman" w:cs="Times New Roman"/>
          <w:sz w:val="24"/>
          <w:szCs w:val="24"/>
        </w:rPr>
        <w:t>respondents</w:t>
      </w:r>
      <w:r>
        <w:rPr>
          <w:rFonts w:ascii="Times New Roman" w:hAnsi="Times New Roman" w:cs="Times New Roman"/>
          <w:sz w:val="24"/>
          <w:szCs w:val="24"/>
        </w:rPr>
        <w:t xml:space="preserve"> aged 50 years and over.  </w:t>
      </w:r>
      <w:r w:rsidR="00193302">
        <w:rPr>
          <w:rFonts w:ascii="Times New Roman" w:hAnsi="Times New Roman" w:cs="Times New Roman"/>
          <w:sz w:val="24"/>
          <w:szCs w:val="24"/>
        </w:rPr>
        <w:t>D</w:t>
      </w:r>
      <w:r>
        <w:rPr>
          <w:rFonts w:ascii="Times New Roman" w:hAnsi="Times New Roman" w:cs="Times New Roman"/>
          <w:sz w:val="24"/>
          <w:szCs w:val="24"/>
        </w:rPr>
        <w:t>etailed description</w:t>
      </w:r>
      <w:r w:rsidR="00193302">
        <w:rPr>
          <w:rFonts w:ascii="Times New Roman" w:hAnsi="Times New Roman" w:cs="Times New Roman"/>
          <w:sz w:val="24"/>
          <w:szCs w:val="24"/>
        </w:rPr>
        <w:t>s</w:t>
      </w:r>
      <w:r>
        <w:rPr>
          <w:rFonts w:ascii="Times New Roman" w:hAnsi="Times New Roman" w:cs="Times New Roman"/>
          <w:sz w:val="24"/>
          <w:szCs w:val="24"/>
        </w:rPr>
        <w:t xml:space="preserve"> of the TILDA cohort</w:t>
      </w:r>
      <w:r w:rsidR="005A0B6C">
        <w:rPr>
          <w:rFonts w:ascii="Times New Roman" w:hAnsi="Times New Roman" w:cs="Times New Roman"/>
          <w:sz w:val="24"/>
          <w:szCs w:val="24"/>
        </w:rPr>
        <w:t>,</w:t>
      </w:r>
      <w:r w:rsidR="00DE5CD5">
        <w:rPr>
          <w:rFonts w:ascii="Times New Roman" w:hAnsi="Times New Roman" w:cs="Times New Roman"/>
          <w:sz w:val="24"/>
          <w:szCs w:val="24"/>
        </w:rPr>
        <w:t xml:space="preserve"> including</w:t>
      </w:r>
      <w:r>
        <w:rPr>
          <w:rFonts w:ascii="Times New Roman" w:hAnsi="Times New Roman" w:cs="Times New Roman"/>
          <w:sz w:val="24"/>
          <w:szCs w:val="24"/>
        </w:rPr>
        <w:t xml:space="preserve"> study desig</w:t>
      </w:r>
      <w:r w:rsidR="00BC497D">
        <w:rPr>
          <w:rFonts w:ascii="Times New Roman" w:hAnsi="Times New Roman" w:cs="Times New Roman"/>
          <w:sz w:val="24"/>
          <w:szCs w:val="24"/>
        </w:rPr>
        <w:t xml:space="preserve">n and </w:t>
      </w:r>
      <w:r w:rsidR="00BC497D" w:rsidRPr="00EE186D">
        <w:rPr>
          <w:rFonts w:ascii="Times New Roman" w:hAnsi="Times New Roman" w:cs="Times New Roman"/>
          <w:sz w:val="24"/>
          <w:szCs w:val="24"/>
        </w:rPr>
        <w:t>methodology</w:t>
      </w:r>
      <w:r w:rsidR="005A0B6C" w:rsidRPr="00EE186D">
        <w:rPr>
          <w:rFonts w:ascii="Times New Roman" w:hAnsi="Times New Roman" w:cs="Times New Roman"/>
          <w:sz w:val="24"/>
          <w:szCs w:val="24"/>
        </w:rPr>
        <w:t>,</w:t>
      </w:r>
      <w:r w:rsidR="00BC497D" w:rsidRPr="00EE186D">
        <w:rPr>
          <w:rFonts w:ascii="Times New Roman" w:hAnsi="Times New Roman" w:cs="Times New Roman"/>
          <w:sz w:val="24"/>
          <w:szCs w:val="24"/>
        </w:rPr>
        <w:t xml:space="preserve"> </w:t>
      </w:r>
      <w:r w:rsidR="005A0B6C" w:rsidRPr="00EE186D">
        <w:rPr>
          <w:rFonts w:ascii="Times New Roman" w:hAnsi="Times New Roman" w:cs="Times New Roman"/>
          <w:sz w:val="24"/>
          <w:szCs w:val="24"/>
        </w:rPr>
        <w:t xml:space="preserve">are </w:t>
      </w:r>
      <w:r w:rsidR="009407F0" w:rsidRPr="00EE186D">
        <w:rPr>
          <w:rFonts w:ascii="Times New Roman" w:hAnsi="Times New Roman" w:cs="Times New Roman"/>
          <w:sz w:val="24"/>
          <w:szCs w:val="24"/>
        </w:rPr>
        <w:t>described elsewhere</w:t>
      </w:r>
      <w:r w:rsidR="00382E95" w:rsidRPr="00EE186D">
        <w:rPr>
          <w:rFonts w:ascii="Times New Roman" w:hAnsi="Times New Roman" w:cs="Times New Roman"/>
          <w:sz w:val="24"/>
          <w:szCs w:val="24"/>
        </w:rPr>
        <w:t xml:space="preserve"> (</w:t>
      </w:r>
      <w:r w:rsidR="00382E95" w:rsidRPr="00EE186D">
        <w:rPr>
          <w:rFonts w:ascii="Times New Roman" w:eastAsia="Calibri" w:hAnsi="Times New Roman" w:cs="Times New Roman"/>
          <w:sz w:val="24"/>
          <w:szCs w:val="24"/>
        </w:rPr>
        <w:t xml:space="preserve">Kearney </w:t>
      </w:r>
      <w:r w:rsidR="00382E95" w:rsidRPr="004E62A0">
        <w:rPr>
          <w:rFonts w:ascii="Times New Roman" w:eastAsia="Calibri" w:hAnsi="Times New Roman" w:cs="Times New Roman"/>
          <w:sz w:val="24"/>
          <w:szCs w:val="24"/>
        </w:rPr>
        <w:t>et al</w:t>
      </w:r>
      <w:r w:rsidR="00382E95" w:rsidRPr="00EE186D">
        <w:rPr>
          <w:rFonts w:ascii="Times New Roman" w:eastAsia="Calibri" w:hAnsi="Times New Roman" w:cs="Times New Roman"/>
          <w:sz w:val="24"/>
          <w:szCs w:val="24"/>
        </w:rPr>
        <w:t>.</w:t>
      </w:r>
      <w:r w:rsidR="00EE186D" w:rsidRPr="00EE186D">
        <w:rPr>
          <w:rFonts w:ascii="Times New Roman" w:eastAsia="Calibri" w:hAnsi="Times New Roman" w:cs="Times New Roman"/>
          <w:sz w:val="24"/>
          <w:szCs w:val="24"/>
        </w:rPr>
        <w:t>,</w:t>
      </w:r>
      <w:r w:rsidR="00EE186D">
        <w:rPr>
          <w:rFonts w:ascii="Times New Roman" w:eastAsia="Calibri" w:hAnsi="Times New Roman" w:cs="Times New Roman"/>
          <w:sz w:val="24"/>
          <w:szCs w:val="24"/>
        </w:rPr>
        <w:t xml:space="preserve"> </w:t>
      </w:r>
      <w:r w:rsidR="00382E95">
        <w:rPr>
          <w:rFonts w:ascii="Times New Roman" w:eastAsia="Calibri" w:hAnsi="Times New Roman" w:cs="Times New Roman"/>
          <w:sz w:val="24"/>
          <w:szCs w:val="24"/>
        </w:rPr>
        <w:t>2011;</w:t>
      </w:r>
      <w:r w:rsidR="00382E95" w:rsidRPr="00382E95">
        <w:rPr>
          <w:rFonts w:ascii="Times New Roman" w:hAnsi="Times New Roman" w:cs="Times New Roman"/>
          <w:sz w:val="24"/>
          <w:szCs w:val="24"/>
        </w:rPr>
        <w:t xml:space="preserve"> </w:t>
      </w:r>
      <w:r w:rsidR="00382E95">
        <w:rPr>
          <w:rFonts w:ascii="Times New Roman" w:hAnsi="Times New Roman" w:cs="Times New Roman"/>
          <w:sz w:val="24"/>
          <w:szCs w:val="24"/>
        </w:rPr>
        <w:t>Whelan &amp; Savva, 2013)</w:t>
      </w:r>
      <w:r>
        <w:rPr>
          <w:rFonts w:ascii="Times New Roman" w:hAnsi="Times New Roman" w:cs="Times New Roman"/>
          <w:sz w:val="24"/>
          <w:szCs w:val="24"/>
        </w:rPr>
        <w:t xml:space="preserve">.  </w:t>
      </w:r>
      <w:r w:rsidR="005D0A18" w:rsidRPr="005D0A18">
        <w:rPr>
          <w:rFonts w:ascii="Times New Roman" w:hAnsi="Times New Roman" w:cs="Times New Roman"/>
          <w:sz w:val="24"/>
          <w:szCs w:val="24"/>
          <w:lang w:val="en-GB"/>
        </w:rPr>
        <w:t xml:space="preserve">Further information is available </w:t>
      </w:r>
      <w:r w:rsidR="005D0A18" w:rsidRPr="005D0A18">
        <w:rPr>
          <w:rFonts w:ascii="Times New Roman" w:hAnsi="Times New Roman" w:cs="Times New Roman"/>
          <w:sz w:val="24"/>
          <w:szCs w:val="24"/>
        </w:rPr>
        <w:t>at the TILDA website (</w:t>
      </w:r>
      <w:hyperlink r:id="rId9" w:history="1">
        <w:r w:rsidR="005D0A18" w:rsidRPr="005D0A18">
          <w:rPr>
            <w:rStyle w:val="Hyperlink"/>
            <w:rFonts w:ascii="Times New Roman" w:hAnsi="Times New Roman" w:cs="Times New Roman"/>
            <w:sz w:val="24"/>
            <w:szCs w:val="24"/>
          </w:rPr>
          <w:t>www.tilda.ie</w:t>
        </w:r>
      </w:hyperlink>
      <w:r w:rsidR="005D0A18" w:rsidRPr="005D0A18">
        <w:rPr>
          <w:rFonts w:ascii="Times New Roman" w:hAnsi="Times New Roman" w:cs="Times New Roman"/>
          <w:sz w:val="24"/>
          <w:szCs w:val="24"/>
        </w:rPr>
        <w:t xml:space="preserve">) and the </w:t>
      </w:r>
      <w:r w:rsidR="005D0A18" w:rsidRPr="005D0A18">
        <w:rPr>
          <w:rFonts w:ascii="Times New Roman" w:hAnsi="Times New Roman" w:cs="Times New Roman"/>
          <w:sz w:val="24"/>
          <w:szCs w:val="24"/>
          <w:lang w:val="en-GB"/>
        </w:rPr>
        <w:t>Irish Social Science Data Archive (</w:t>
      </w:r>
      <w:r w:rsidR="005D0A18" w:rsidRPr="005D0A18">
        <w:rPr>
          <w:rFonts w:ascii="Times New Roman" w:hAnsi="Times New Roman" w:cs="Times New Roman"/>
          <w:sz w:val="24"/>
          <w:szCs w:val="24"/>
        </w:rPr>
        <w:t>ISSDA) website (</w:t>
      </w:r>
      <w:hyperlink r:id="rId10" w:history="1">
        <w:r w:rsidR="005D0A18" w:rsidRPr="005D0A18">
          <w:rPr>
            <w:rStyle w:val="Hyperlink"/>
            <w:rFonts w:ascii="Times New Roman" w:hAnsi="Times New Roman" w:cs="Times New Roman"/>
            <w:sz w:val="24"/>
            <w:szCs w:val="24"/>
          </w:rPr>
          <w:t>www.issda.ie</w:t>
        </w:r>
      </w:hyperlink>
      <w:r w:rsidR="005D0A18" w:rsidRPr="005D0A18">
        <w:rPr>
          <w:rFonts w:ascii="Times New Roman" w:hAnsi="Times New Roman" w:cs="Times New Roman"/>
          <w:sz w:val="24"/>
          <w:szCs w:val="24"/>
        </w:rPr>
        <w:t xml:space="preserve">) where the data are available on application.  </w:t>
      </w:r>
      <w:r w:rsidR="005A0B6C">
        <w:rPr>
          <w:rFonts w:ascii="Times New Roman" w:hAnsi="Times New Roman" w:cs="Times New Roman"/>
          <w:sz w:val="24"/>
          <w:szCs w:val="24"/>
        </w:rPr>
        <w:t>T</w:t>
      </w:r>
      <w:r>
        <w:rPr>
          <w:rFonts w:ascii="Times New Roman" w:hAnsi="Times New Roman" w:cs="Times New Roman"/>
          <w:sz w:val="24"/>
          <w:szCs w:val="24"/>
        </w:rPr>
        <w:t xml:space="preserve">he present study </w:t>
      </w:r>
      <w:r w:rsidR="005A0B6C">
        <w:rPr>
          <w:rFonts w:ascii="Times New Roman" w:hAnsi="Times New Roman" w:cs="Times New Roman"/>
          <w:sz w:val="24"/>
          <w:szCs w:val="24"/>
        </w:rPr>
        <w:t xml:space="preserve">used </w:t>
      </w:r>
      <w:r>
        <w:rPr>
          <w:rFonts w:ascii="Times New Roman" w:hAnsi="Times New Roman" w:cs="Times New Roman"/>
          <w:sz w:val="24"/>
          <w:szCs w:val="24"/>
        </w:rPr>
        <w:t xml:space="preserve">Wave 1 </w:t>
      </w:r>
      <w:r w:rsidR="005A0B6C">
        <w:rPr>
          <w:rFonts w:ascii="Times New Roman" w:hAnsi="Times New Roman" w:cs="Times New Roman"/>
          <w:sz w:val="24"/>
          <w:szCs w:val="24"/>
        </w:rPr>
        <w:t xml:space="preserve">TILDA data </w:t>
      </w:r>
      <w:r>
        <w:rPr>
          <w:rFonts w:ascii="Times New Roman" w:hAnsi="Times New Roman" w:cs="Times New Roman"/>
          <w:sz w:val="24"/>
          <w:szCs w:val="24"/>
        </w:rPr>
        <w:t xml:space="preserve">which was collected </w:t>
      </w:r>
      <w:r w:rsidR="005A0B6C">
        <w:rPr>
          <w:rFonts w:ascii="Times New Roman" w:hAnsi="Times New Roman" w:cs="Times New Roman"/>
          <w:sz w:val="24"/>
          <w:szCs w:val="24"/>
        </w:rPr>
        <w:t>between</w:t>
      </w:r>
      <w:r>
        <w:rPr>
          <w:rFonts w:ascii="Times New Roman" w:hAnsi="Times New Roman" w:cs="Times New Roman"/>
          <w:sz w:val="24"/>
          <w:szCs w:val="24"/>
        </w:rPr>
        <w:t xml:space="preserve"> October 2009 </w:t>
      </w:r>
      <w:r w:rsidR="005A0B6C">
        <w:rPr>
          <w:rFonts w:ascii="Times New Roman" w:hAnsi="Times New Roman" w:cs="Times New Roman"/>
          <w:sz w:val="24"/>
          <w:szCs w:val="24"/>
        </w:rPr>
        <w:t xml:space="preserve">and </w:t>
      </w:r>
      <w:r>
        <w:rPr>
          <w:rFonts w:ascii="Times New Roman" w:hAnsi="Times New Roman" w:cs="Times New Roman"/>
          <w:sz w:val="24"/>
          <w:szCs w:val="24"/>
        </w:rPr>
        <w:t>February 2011.</w:t>
      </w:r>
    </w:p>
    <w:p w:rsidR="009872B8" w:rsidRDefault="009872B8" w:rsidP="00461457">
      <w:pPr>
        <w:spacing w:after="0" w:line="360" w:lineRule="auto"/>
        <w:rPr>
          <w:rFonts w:ascii="Times New Roman" w:hAnsi="Times New Roman" w:cs="Times New Roman"/>
          <w:sz w:val="24"/>
          <w:szCs w:val="24"/>
        </w:rPr>
      </w:pPr>
    </w:p>
    <w:p w:rsidR="00E62283" w:rsidRDefault="00CA7380"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E62283" w:rsidRPr="008477B2">
        <w:rPr>
          <w:rFonts w:ascii="Times New Roman" w:hAnsi="Times New Roman" w:cs="Times New Roman"/>
          <w:sz w:val="24"/>
          <w:szCs w:val="24"/>
        </w:rPr>
        <w:t>Northern Ire</w:t>
      </w:r>
      <w:r w:rsidR="004E62A0">
        <w:rPr>
          <w:rFonts w:ascii="Times New Roman" w:hAnsi="Times New Roman" w:cs="Times New Roman"/>
          <w:sz w:val="24"/>
          <w:szCs w:val="24"/>
        </w:rPr>
        <w:t>la</w:t>
      </w:r>
      <w:r w:rsidR="00E62283" w:rsidRPr="008477B2">
        <w:rPr>
          <w:rFonts w:ascii="Times New Roman" w:hAnsi="Times New Roman" w:cs="Times New Roman"/>
          <w:sz w:val="24"/>
          <w:szCs w:val="24"/>
        </w:rPr>
        <w:t>nd Health Survey (NIHS)</w:t>
      </w:r>
      <w:r w:rsidR="00E62283">
        <w:rPr>
          <w:rFonts w:ascii="Times New Roman" w:hAnsi="Times New Roman" w:cs="Times New Roman"/>
          <w:sz w:val="24"/>
          <w:szCs w:val="24"/>
        </w:rPr>
        <w:t xml:space="preserve"> is a cross-sectional population-based health survey that has been carried out annually in NI </w:t>
      </w:r>
      <w:r w:rsidR="004D072A">
        <w:rPr>
          <w:rFonts w:ascii="Times New Roman" w:hAnsi="Times New Roman" w:cs="Times New Roman"/>
          <w:sz w:val="24"/>
          <w:szCs w:val="24"/>
        </w:rPr>
        <w:t>from 2010/11 among respondents aged 16 years and over</w:t>
      </w:r>
      <w:r w:rsidR="00E62283">
        <w:rPr>
          <w:rFonts w:ascii="Times New Roman" w:hAnsi="Times New Roman" w:cs="Times New Roman"/>
          <w:sz w:val="24"/>
          <w:szCs w:val="24"/>
        </w:rPr>
        <w:t xml:space="preserve">.  More information about the NIHS is available on the </w:t>
      </w:r>
      <w:r w:rsidR="004A2BD7">
        <w:rPr>
          <w:rFonts w:ascii="Times New Roman" w:hAnsi="Times New Roman" w:cs="Times New Roman"/>
          <w:sz w:val="24"/>
          <w:szCs w:val="24"/>
        </w:rPr>
        <w:t>Northern Ireland Statistics and Research Agency (</w:t>
      </w:r>
      <w:r w:rsidR="00E62283">
        <w:rPr>
          <w:rFonts w:ascii="Times New Roman" w:hAnsi="Times New Roman" w:cs="Times New Roman"/>
          <w:sz w:val="24"/>
          <w:szCs w:val="24"/>
        </w:rPr>
        <w:t>NISRA</w:t>
      </w:r>
      <w:r w:rsidR="004A2BD7">
        <w:rPr>
          <w:rFonts w:ascii="Times New Roman" w:hAnsi="Times New Roman" w:cs="Times New Roman"/>
          <w:sz w:val="24"/>
          <w:szCs w:val="24"/>
        </w:rPr>
        <w:t>)</w:t>
      </w:r>
      <w:r w:rsidR="00E62283">
        <w:rPr>
          <w:rFonts w:ascii="Times New Roman" w:hAnsi="Times New Roman" w:cs="Times New Roman"/>
          <w:sz w:val="24"/>
          <w:szCs w:val="24"/>
        </w:rPr>
        <w:t xml:space="preserve"> website </w:t>
      </w:r>
      <w:r w:rsidR="00E62283" w:rsidRPr="00D55BF0">
        <w:rPr>
          <w:rFonts w:ascii="Times New Roman" w:hAnsi="Times New Roman" w:cs="Times New Roman"/>
          <w:sz w:val="24"/>
          <w:szCs w:val="24"/>
        </w:rPr>
        <w:t>(</w:t>
      </w:r>
      <w:hyperlink r:id="rId11" w:history="1">
        <w:r w:rsidR="008B7AC3" w:rsidRPr="0042153C">
          <w:rPr>
            <w:rStyle w:val="Hyperlink"/>
            <w:rFonts w:ascii="Times New Roman" w:hAnsi="Times New Roman" w:cs="Times New Roman"/>
            <w:sz w:val="24"/>
            <w:szCs w:val="24"/>
          </w:rPr>
          <w:t>http://www.csu.nisra.gov.uk/surveyNIHS.asp5.htm</w:t>
        </w:r>
      </w:hyperlink>
      <w:r w:rsidR="00E62283" w:rsidRPr="00D55BF0">
        <w:rPr>
          <w:rFonts w:ascii="Times New Roman" w:hAnsi="Times New Roman" w:cs="Times New Roman"/>
          <w:sz w:val="24"/>
          <w:szCs w:val="24"/>
        </w:rPr>
        <w:t>)</w:t>
      </w:r>
      <w:r w:rsidR="00D55BF0">
        <w:rPr>
          <w:rFonts w:ascii="Times New Roman" w:hAnsi="Times New Roman" w:cs="Times New Roman"/>
          <w:sz w:val="24"/>
          <w:szCs w:val="24"/>
        </w:rPr>
        <w:t xml:space="preserve"> and on the UK Data Service website (</w:t>
      </w:r>
      <w:hyperlink r:id="rId12" w:history="1">
        <w:r w:rsidR="005D0A18" w:rsidRPr="0085242C">
          <w:rPr>
            <w:rStyle w:val="Hyperlink"/>
            <w:rFonts w:ascii="Times New Roman" w:hAnsi="Times New Roman" w:cs="Times New Roman"/>
            <w:sz w:val="24"/>
            <w:szCs w:val="24"/>
          </w:rPr>
          <w:t>https://discover.ukdataservice.ac.uk/catalogue/?sn=7258</w:t>
        </w:r>
      </w:hyperlink>
      <w:r w:rsidR="00D55BF0">
        <w:rPr>
          <w:rFonts w:ascii="Times New Roman" w:hAnsi="Times New Roman" w:cs="Times New Roman"/>
          <w:sz w:val="24"/>
          <w:szCs w:val="24"/>
        </w:rPr>
        <w:t>)</w:t>
      </w:r>
      <w:r w:rsidR="005D0A18">
        <w:rPr>
          <w:rFonts w:ascii="Times New Roman" w:hAnsi="Times New Roman" w:cs="Times New Roman"/>
          <w:sz w:val="24"/>
          <w:szCs w:val="24"/>
        </w:rPr>
        <w:t xml:space="preserve"> where the data are available on application</w:t>
      </w:r>
      <w:r w:rsidR="00E62283" w:rsidRPr="00D55BF0">
        <w:rPr>
          <w:rFonts w:ascii="Times New Roman" w:hAnsi="Times New Roman" w:cs="Times New Roman"/>
          <w:sz w:val="24"/>
          <w:szCs w:val="24"/>
        </w:rPr>
        <w:t>.  NIHS data used in the</w:t>
      </w:r>
      <w:r w:rsidR="00E62283">
        <w:rPr>
          <w:rFonts w:ascii="Times New Roman" w:hAnsi="Times New Roman" w:cs="Times New Roman"/>
          <w:sz w:val="24"/>
          <w:szCs w:val="24"/>
        </w:rPr>
        <w:t xml:space="preserve"> present study were collected during 2010/2011.</w:t>
      </w:r>
    </w:p>
    <w:p w:rsidR="004E7912" w:rsidRDefault="004E7912" w:rsidP="00461457">
      <w:pPr>
        <w:spacing w:after="0" w:line="360" w:lineRule="auto"/>
        <w:rPr>
          <w:rFonts w:ascii="Times New Roman" w:hAnsi="Times New Roman" w:cs="Times New Roman"/>
          <w:sz w:val="24"/>
          <w:szCs w:val="24"/>
        </w:rPr>
      </w:pPr>
    </w:p>
    <w:p w:rsidR="004E7912" w:rsidRDefault="004E7912"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The response rate for both TILDA and the NIHS was 62%.</w:t>
      </w:r>
    </w:p>
    <w:p w:rsidR="00E62283" w:rsidRDefault="00E62283" w:rsidP="00461457">
      <w:pPr>
        <w:spacing w:after="0" w:line="360" w:lineRule="auto"/>
        <w:rPr>
          <w:rFonts w:ascii="Times New Roman" w:hAnsi="Times New Roman" w:cs="Times New Roman"/>
          <w:sz w:val="24"/>
          <w:szCs w:val="24"/>
        </w:rPr>
      </w:pPr>
    </w:p>
    <w:p w:rsidR="00E62283" w:rsidRPr="008477B2" w:rsidRDefault="00E62283" w:rsidP="00461457">
      <w:pPr>
        <w:spacing w:after="0" w:line="360" w:lineRule="auto"/>
        <w:rPr>
          <w:rFonts w:ascii="Times New Roman" w:hAnsi="Times New Roman" w:cs="Times New Roman"/>
          <w:sz w:val="24"/>
          <w:szCs w:val="24"/>
        </w:rPr>
      </w:pPr>
      <w:r w:rsidRPr="008477B2">
        <w:rPr>
          <w:rFonts w:ascii="Times New Roman" w:hAnsi="Times New Roman" w:cs="Times New Roman"/>
          <w:sz w:val="24"/>
          <w:szCs w:val="24"/>
        </w:rPr>
        <w:t>Pooled data</w:t>
      </w:r>
    </w:p>
    <w:p w:rsidR="00E62283" w:rsidRDefault="00BC70C7"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E62283">
        <w:rPr>
          <w:rFonts w:ascii="Times New Roman" w:hAnsi="Times New Roman" w:cs="Times New Roman"/>
          <w:sz w:val="24"/>
          <w:szCs w:val="24"/>
        </w:rPr>
        <w:t>provide more robust estimation</w:t>
      </w:r>
      <w:r w:rsidR="002D1C7F">
        <w:rPr>
          <w:rFonts w:ascii="Times New Roman" w:hAnsi="Times New Roman" w:cs="Times New Roman"/>
          <w:sz w:val="24"/>
          <w:szCs w:val="24"/>
        </w:rPr>
        <w:t xml:space="preserve"> of relative risk</w:t>
      </w:r>
      <w:r>
        <w:rPr>
          <w:rFonts w:ascii="Times New Roman" w:hAnsi="Times New Roman" w:cs="Times New Roman"/>
          <w:sz w:val="24"/>
          <w:szCs w:val="24"/>
        </w:rPr>
        <w:t xml:space="preserve">s </w:t>
      </w:r>
      <w:r w:rsidR="00E62283">
        <w:rPr>
          <w:rFonts w:ascii="Times New Roman" w:hAnsi="Times New Roman" w:cs="Times New Roman"/>
          <w:sz w:val="24"/>
          <w:szCs w:val="24"/>
        </w:rPr>
        <w:t xml:space="preserve">the datasets were </w:t>
      </w:r>
      <w:r w:rsidR="000101EA">
        <w:rPr>
          <w:rFonts w:ascii="Times New Roman" w:hAnsi="Times New Roman" w:cs="Times New Roman"/>
          <w:sz w:val="24"/>
          <w:szCs w:val="24"/>
        </w:rPr>
        <w:t>merged to provide a pooled, all-Ireland sample</w:t>
      </w:r>
      <w:r w:rsidR="0004557E">
        <w:rPr>
          <w:rFonts w:ascii="Times New Roman" w:hAnsi="Times New Roman" w:cs="Times New Roman"/>
          <w:sz w:val="24"/>
          <w:szCs w:val="24"/>
        </w:rPr>
        <w:t xml:space="preserve"> after </w:t>
      </w:r>
      <w:r w:rsidR="00E62283">
        <w:rPr>
          <w:rFonts w:ascii="Times New Roman" w:hAnsi="Times New Roman" w:cs="Times New Roman"/>
          <w:sz w:val="24"/>
          <w:szCs w:val="24"/>
        </w:rPr>
        <w:t>harmonis</w:t>
      </w:r>
      <w:r w:rsidR="000101EA">
        <w:rPr>
          <w:rFonts w:ascii="Times New Roman" w:hAnsi="Times New Roman" w:cs="Times New Roman"/>
          <w:sz w:val="24"/>
          <w:szCs w:val="24"/>
        </w:rPr>
        <w:t>ation of</w:t>
      </w:r>
      <w:r w:rsidR="00EF5811">
        <w:rPr>
          <w:rFonts w:ascii="Times New Roman" w:hAnsi="Times New Roman" w:cs="Times New Roman"/>
          <w:sz w:val="24"/>
          <w:szCs w:val="24"/>
        </w:rPr>
        <w:t xml:space="preserve"> </w:t>
      </w:r>
      <w:r w:rsidR="000101EA">
        <w:rPr>
          <w:rFonts w:ascii="Times New Roman" w:hAnsi="Times New Roman" w:cs="Times New Roman"/>
          <w:sz w:val="24"/>
          <w:szCs w:val="24"/>
        </w:rPr>
        <w:t xml:space="preserve">all </w:t>
      </w:r>
      <w:r w:rsidR="00E62283">
        <w:rPr>
          <w:rFonts w:ascii="Times New Roman" w:hAnsi="Times New Roman" w:cs="Times New Roman"/>
          <w:sz w:val="24"/>
          <w:szCs w:val="24"/>
        </w:rPr>
        <w:t>variables</w:t>
      </w:r>
      <w:r w:rsidR="000101EA">
        <w:rPr>
          <w:rFonts w:ascii="Times New Roman" w:hAnsi="Times New Roman" w:cs="Times New Roman"/>
          <w:sz w:val="24"/>
          <w:szCs w:val="24"/>
        </w:rPr>
        <w:t xml:space="preserve"> being used in the analyses</w:t>
      </w:r>
      <w:r w:rsidR="00E62283">
        <w:rPr>
          <w:rFonts w:ascii="Times New Roman" w:hAnsi="Times New Roman" w:cs="Times New Roman"/>
          <w:sz w:val="24"/>
          <w:szCs w:val="24"/>
        </w:rPr>
        <w:t>.</w:t>
      </w:r>
    </w:p>
    <w:p w:rsidR="00E0579C" w:rsidRDefault="00E0579C" w:rsidP="00461457">
      <w:pPr>
        <w:spacing w:after="0" w:line="360" w:lineRule="auto"/>
        <w:rPr>
          <w:rFonts w:ascii="Times New Roman" w:hAnsi="Times New Roman" w:cs="Times New Roman"/>
          <w:sz w:val="24"/>
          <w:szCs w:val="24"/>
        </w:rPr>
      </w:pPr>
    </w:p>
    <w:p w:rsidR="005D0A18" w:rsidRPr="00586190" w:rsidRDefault="005D0A18" w:rsidP="00461457">
      <w:pPr>
        <w:spacing w:after="0" w:line="360" w:lineRule="auto"/>
        <w:rPr>
          <w:rFonts w:ascii="Times New Roman" w:hAnsi="Times New Roman" w:cs="Times New Roman"/>
          <w:i/>
          <w:sz w:val="24"/>
          <w:szCs w:val="24"/>
          <w:lang w:val="en-GB"/>
        </w:rPr>
      </w:pPr>
      <w:r w:rsidRPr="00586190">
        <w:rPr>
          <w:rFonts w:ascii="Times New Roman" w:hAnsi="Times New Roman" w:cs="Times New Roman"/>
          <w:i/>
          <w:sz w:val="24"/>
          <w:szCs w:val="24"/>
          <w:lang w:val="en-GB"/>
        </w:rPr>
        <w:t>Weighting</w:t>
      </w:r>
    </w:p>
    <w:p w:rsidR="00E62283" w:rsidRPr="00E0579C" w:rsidRDefault="005D0A18" w:rsidP="00461457">
      <w:pPr>
        <w:spacing w:after="0" w:line="360" w:lineRule="auto"/>
        <w:rPr>
          <w:rFonts w:ascii="Times New Roman" w:hAnsi="Times New Roman" w:cs="Times New Roman"/>
          <w:sz w:val="24"/>
          <w:szCs w:val="24"/>
          <w:lang w:val="en-GB"/>
        </w:rPr>
      </w:pPr>
      <w:r w:rsidRPr="00586190">
        <w:rPr>
          <w:rFonts w:ascii="Times New Roman" w:hAnsi="Times New Roman" w:cs="Times New Roman"/>
          <w:sz w:val="24"/>
          <w:szCs w:val="24"/>
          <w:lang w:val="en-GB"/>
        </w:rPr>
        <w:t xml:space="preserve">The TILDA and NIHS each have a population weighting variable that was applied to analyses involving the individual datasets in order to ensure that estimates were representative of the populations from which the samples had been drawn.  </w:t>
      </w:r>
      <w:r>
        <w:rPr>
          <w:rFonts w:ascii="Times New Roman" w:hAnsi="Times New Roman" w:cs="Times New Roman"/>
          <w:sz w:val="24"/>
          <w:szCs w:val="24"/>
          <w:lang w:val="en-GB"/>
        </w:rPr>
        <w:t xml:space="preserve">TILDA weighting was based on </w:t>
      </w:r>
      <w:r w:rsidRPr="00586190">
        <w:rPr>
          <w:rFonts w:ascii="Times New Roman" w:hAnsi="Times New Roman" w:cs="Times New Roman"/>
          <w:sz w:val="24"/>
          <w:szCs w:val="24"/>
          <w:lang w:val="en-GB"/>
        </w:rPr>
        <w:t xml:space="preserve">age, </w:t>
      </w:r>
      <w:r w:rsidR="00686608">
        <w:rPr>
          <w:rFonts w:ascii="Times New Roman" w:hAnsi="Times New Roman" w:cs="Times New Roman"/>
          <w:sz w:val="24"/>
          <w:szCs w:val="24"/>
          <w:lang w:val="en-GB"/>
        </w:rPr>
        <w:t>gender</w:t>
      </w:r>
      <w:r w:rsidRPr="00586190">
        <w:rPr>
          <w:rFonts w:ascii="Times New Roman" w:hAnsi="Times New Roman" w:cs="Times New Roman"/>
          <w:sz w:val="24"/>
          <w:szCs w:val="24"/>
          <w:lang w:val="en-GB"/>
        </w:rPr>
        <w:t xml:space="preserve"> and educational attainment</w:t>
      </w:r>
      <w:r>
        <w:rPr>
          <w:rFonts w:ascii="Times New Roman" w:hAnsi="Times New Roman" w:cs="Times New Roman"/>
          <w:sz w:val="24"/>
          <w:szCs w:val="24"/>
          <w:lang w:val="en-GB"/>
        </w:rPr>
        <w:t xml:space="preserve">; NIHS weighting was based on age and </w:t>
      </w:r>
      <w:r w:rsidR="00686608">
        <w:rPr>
          <w:rFonts w:ascii="Times New Roman" w:hAnsi="Times New Roman" w:cs="Times New Roman"/>
          <w:sz w:val="24"/>
          <w:szCs w:val="24"/>
          <w:lang w:val="en-GB"/>
        </w:rPr>
        <w:t>gender</w:t>
      </w:r>
      <w:r>
        <w:rPr>
          <w:rFonts w:ascii="Times New Roman" w:hAnsi="Times New Roman" w:cs="Times New Roman"/>
          <w:sz w:val="24"/>
          <w:szCs w:val="24"/>
          <w:lang w:val="en-GB"/>
        </w:rPr>
        <w:t xml:space="preserve">.  </w:t>
      </w:r>
      <w:r w:rsidRPr="00586190">
        <w:rPr>
          <w:rFonts w:ascii="Times New Roman" w:hAnsi="Times New Roman" w:cs="Times New Roman"/>
          <w:sz w:val="24"/>
          <w:szCs w:val="24"/>
          <w:lang w:val="en-GB"/>
        </w:rPr>
        <w:t xml:space="preserve">It was not possible to apply the country-specific population weights to </w:t>
      </w:r>
      <w:r w:rsidR="00E0579C">
        <w:rPr>
          <w:rFonts w:ascii="Times New Roman" w:hAnsi="Times New Roman" w:cs="Times New Roman"/>
          <w:sz w:val="24"/>
          <w:szCs w:val="24"/>
          <w:lang w:val="en-GB"/>
        </w:rPr>
        <w:t>relative risk (</w:t>
      </w:r>
      <w:r w:rsidRPr="00586190">
        <w:rPr>
          <w:rFonts w:ascii="Times New Roman" w:hAnsi="Times New Roman" w:cs="Times New Roman"/>
          <w:sz w:val="24"/>
          <w:szCs w:val="24"/>
          <w:lang w:val="en-GB"/>
        </w:rPr>
        <w:t>RR</w:t>
      </w:r>
      <w:r w:rsidR="00E0579C">
        <w:rPr>
          <w:rFonts w:ascii="Times New Roman" w:hAnsi="Times New Roman" w:cs="Times New Roman"/>
          <w:sz w:val="24"/>
          <w:szCs w:val="24"/>
          <w:lang w:val="en-GB"/>
        </w:rPr>
        <w:t>)</w:t>
      </w:r>
      <w:r w:rsidRPr="00586190">
        <w:rPr>
          <w:rFonts w:ascii="Times New Roman" w:hAnsi="Times New Roman" w:cs="Times New Roman"/>
          <w:sz w:val="24"/>
          <w:szCs w:val="24"/>
          <w:lang w:val="en-GB"/>
        </w:rPr>
        <w:t xml:space="preserve"> analyses involving the pooled dataset; however, all RR analyses were adjusted for gender, age, and SEP (i.e., the characteristics that are typically used to establish population weights).</w:t>
      </w:r>
    </w:p>
    <w:p w:rsidR="005D0A18" w:rsidRDefault="005D0A18" w:rsidP="00461457">
      <w:pPr>
        <w:spacing w:after="0" w:line="360" w:lineRule="auto"/>
        <w:rPr>
          <w:rFonts w:ascii="Times New Roman" w:hAnsi="Times New Roman" w:cs="Times New Roman"/>
          <w:sz w:val="24"/>
          <w:szCs w:val="24"/>
          <w:highlight w:val="yellow"/>
        </w:rPr>
      </w:pPr>
    </w:p>
    <w:p w:rsidR="00E62283" w:rsidRPr="008477B2" w:rsidRDefault="00E62283" w:rsidP="00461457">
      <w:pPr>
        <w:spacing w:after="0" w:line="360" w:lineRule="auto"/>
        <w:rPr>
          <w:rFonts w:ascii="Times New Roman" w:hAnsi="Times New Roman" w:cs="Times New Roman"/>
          <w:i/>
          <w:sz w:val="24"/>
          <w:szCs w:val="24"/>
        </w:rPr>
      </w:pPr>
      <w:r w:rsidRPr="008477B2">
        <w:rPr>
          <w:rFonts w:ascii="Times New Roman" w:hAnsi="Times New Roman" w:cs="Times New Roman"/>
          <w:i/>
          <w:sz w:val="24"/>
          <w:szCs w:val="24"/>
        </w:rPr>
        <w:t>Variables</w:t>
      </w:r>
    </w:p>
    <w:p w:rsidR="00F62249" w:rsidRPr="008477B2" w:rsidRDefault="00753A5D" w:rsidP="00461457">
      <w:pPr>
        <w:spacing w:after="0" w:line="360" w:lineRule="auto"/>
        <w:rPr>
          <w:rFonts w:ascii="Times New Roman" w:hAnsi="Times New Roman" w:cs="Times New Roman"/>
          <w:sz w:val="24"/>
          <w:szCs w:val="24"/>
        </w:rPr>
      </w:pPr>
      <w:r w:rsidRPr="008477B2">
        <w:rPr>
          <w:rFonts w:ascii="Times New Roman" w:hAnsi="Times New Roman" w:cs="Times New Roman"/>
          <w:sz w:val="24"/>
          <w:szCs w:val="24"/>
        </w:rPr>
        <w:t>CHD-related</w:t>
      </w:r>
      <w:r w:rsidR="0041120A" w:rsidRPr="008477B2">
        <w:rPr>
          <w:rFonts w:ascii="Times New Roman" w:hAnsi="Times New Roman" w:cs="Times New Roman"/>
          <w:sz w:val="24"/>
          <w:szCs w:val="24"/>
        </w:rPr>
        <w:t xml:space="preserve"> disability (disability)</w:t>
      </w:r>
    </w:p>
    <w:p w:rsidR="009524B6" w:rsidRDefault="00CA7380"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In order to define CHD-</w:t>
      </w:r>
      <w:r w:rsidR="009524B6">
        <w:rPr>
          <w:rFonts w:ascii="Times New Roman" w:hAnsi="Times New Roman" w:cs="Times New Roman"/>
          <w:sz w:val="24"/>
          <w:szCs w:val="24"/>
        </w:rPr>
        <w:t>related disability it was first necessary to establish prevalence of CHD.  During the TILDA and NIHS computer-assisted personal interview</w:t>
      </w:r>
      <w:r w:rsidR="00320D25">
        <w:rPr>
          <w:rFonts w:ascii="Times New Roman" w:hAnsi="Times New Roman" w:cs="Times New Roman"/>
          <w:sz w:val="24"/>
          <w:szCs w:val="24"/>
        </w:rPr>
        <w:t>s</w:t>
      </w:r>
      <w:r w:rsidR="009524B6">
        <w:rPr>
          <w:rFonts w:ascii="Times New Roman" w:hAnsi="Times New Roman" w:cs="Times New Roman"/>
          <w:sz w:val="24"/>
          <w:szCs w:val="24"/>
        </w:rPr>
        <w:t xml:space="preserve"> (CAPI), the respondent was shown a list of health conditions (which included ‘angina’ and ‘heart attack’) and asked to select any conditions that applied to them.  In the present study, a respondent was deemed to have CHD if they indicated having had either angina or a heart attack.</w:t>
      </w:r>
    </w:p>
    <w:p w:rsidR="0011738B" w:rsidRDefault="0011738B" w:rsidP="00461457">
      <w:pPr>
        <w:spacing w:after="0" w:line="360" w:lineRule="auto"/>
        <w:rPr>
          <w:rFonts w:ascii="Times New Roman" w:hAnsi="Times New Roman" w:cs="Times New Roman"/>
          <w:sz w:val="24"/>
          <w:szCs w:val="24"/>
        </w:rPr>
      </w:pPr>
    </w:p>
    <w:p w:rsidR="009524B6" w:rsidRDefault="009524B6"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second step in defining CHD related disability was to establish prevalence of limiting long-term illness (LLTI).  The LLTI questions in the TILDA and NIHS were broadly similar (see Table 1).  In the present study, a respondent was deemed to </w:t>
      </w:r>
      <w:r w:rsidR="00320D25">
        <w:rPr>
          <w:rFonts w:ascii="Times New Roman" w:hAnsi="Times New Roman" w:cs="Times New Roman"/>
          <w:sz w:val="24"/>
          <w:szCs w:val="24"/>
        </w:rPr>
        <w:t xml:space="preserve">have a </w:t>
      </w:r>
      <w:r>
        <w:rPr>
          <w:rFonts w:ascii="Times New Roman" w:hAnsi="Times New Roman" w:cs="Times New Roman"/>
          <w:sz w:val="24"/>
          <w:szCs w:val="24"/>
        </w:rPr>
        <w:t>LLTI if they responded ‘yes’ to questions 1 and 2.</w:t>
      </w:r>
    </w:p>
    <w:p w:rsidR="00FC3917" w:rsidRDefault="00FC3917" w:rsidP="00461457">
      <w:pPr>
        <w:spacing w:after="0" w:line="360" w:lineRule="auto"/>
        <w:rPr>
          <w:rFonts w:ascii="Times New Roman" w:hAnsi="Times New Roman" w:cs="Times New Roman"/>
          <w:sz w:val="24"/>
          <w:szCs w:val="24"/>
        </w:rPr>
      </w:pPr>
    </w:p>
    <w:p w:rsidR="00FC3917" w:rsidRPr="00F63AA1" w:rsidRDefault="00FC3917" w:rsidP="004725E1">
      <w:pPr>
        <w:spacing w:line="360" w:lineRule="auto"/>
        <w:rPr>
          <w:rFonts w:ascii="Times New Roman" w:hAnsi="Times New Roman" w:cs="Times New Roman"/>
          <w:sz w:val="24"/>
          <w:szCs w:val="24"/>
        </w:rPr>
      </w:pPr>
      <w:r w:rsidRPr="00F63AA1">
        <w:rPr>
          <w:rFonts w:ascii="Times New Roman" w:hAnsi="Times New Roman" w:cs="Times New Roman"/>
          <w:b/>
          <w:sz w:val="24"/>
          <w:szCs w:val="24"/>
        </w:rPr>
        <w:t>Table 1</w:t>
      </w:r>
      <w:r>
        <w:rPr>
          <w:rFonts w:ascii="Times New Roman" w:hAnsi="Times New Roman" w:cs="Times New Roman"/>
          <w:b/>
          <w:sz w:val="24"/>
          <w:szCs w:val="24"/>
        </w:rPr>
        <w:t>.</w:t>
      </w:r>
      <w:r w:rsidRPr="00F63AA1">
        <w:rPr>
          <w:rFonts w:ascii="Times New Roman" w:hAnsi="Times New Roman" w:cs="Times New Roman"/>
          <w:sz w:val="24"/>
          <w:szCs w:val="24"/>
        </w:rPr>
        <w:t xml:space="preserve"> </w:t>
      </w:r>
      <w:r w:rsidRPr="00F63AA1">
        <w:rPr>
          <w:rFonts w:ascii="Times New Roman" w:hAnsi="Times New Roman" w:cs="Times New Roman"/>
          <w:b/>
          <w:sz w:val="24"/>
          <w:szCs w:val="24"/>
        </w:rPr>
        <w:t>Questions used to derive limiting long-term illness (LLTI) in TILDA and NIHS</w:t>
      </w:r>
    </w:p>
    <w:tbl>
      <w:tblPr>
        <w:tblStyle w:val="TableGrid"/>
        <w:tblW w:w="0" w:type="auto"/>
        <w:tblLook w:val="04A0"/>
      </w:tblPr>
      <w:tblGrid>
        <w:gridCol w:w="4621"/>
        <w:gridCol w:w="4621"/>
      </w:tblGrid>
      <w:tr w:rsidR="00FC3917" w:rsidRPr="00FC3917" w:rsidTr="00461457">
        <w:tc>
          <w:tcPr>
            <w:tcW w:w="4621" w:type="dxa"/>
          </w:tcPr>
          <w:p w:rsidR="00FC3917" w:rsidRPr="00FC3917" w:rsidRDefault="00FC3917" w:rsidP="004725E1">
            <w:pPr>
              <w:spacing w:line="360" w:lineRule="auto"/>
              <w:rPr>
                <w:rFonts w:ascii="Times New Roman" w:hAnsi="Times New Roman" w:cs="Times New Roman"/>
                <w:b/>
                <w:sz w:val="24"/>
                <w:szCs w:val="24"/>
                <w:lang w:val="en-GB"/>
              </w:rPr>
            </w:pPr>
            <w:r w:rsidRPr="00FC3917">
              <w:rPr>
                <w:rFonts w:ascii="Times New Roman" w:hAnsi="Times New Roman" w:cs="Times New Roman"/>
                <w:b/>
                <w:sz w:val="24"/>
                <w:szCs w:val="24"/>
                <w:lang w:val="en-GB"/>
              </w:rPr>
              <w:t>TILDA</w:t>
            </w:r>
          </w:p>
        </w:tc>
        <w:tc>
          <w:tcPr>
            <w:tcW w:w="4621" w:type="dxa"/>
          </w:tcPr>
          <w:p w:rsidR="00FC3917" w:rsidRPr="00FC3917" w:rsidRDefault="00FC3917" w:rsidP="004725E1">
            <w:pPr>
              <w:spacing w:line="360" w:lineRule="auto"/>
              <w:rPr>
                <w:rFonts w:ascii="Times New Roman" w:hAnsi="Times New Roman" w:cs="Times New Roman"/>
                <w:sz w:val="24"/>
                <w:szCs w:val="24"/>
                <w:lang w:val="en-GB"/>
              </w:rPr>
            </w:pPr>
            <w:r w:rsidRPr="00FC3917">
              <w:rPr>
                <w:rFonts w:ascii="Times New Roman" w:hAnsi="Times New Roman" w:cs="Times New Roman"/>
                <w:b/>
                <w:sz w:val="24"/>
                <w:szCs w:val="24"/>
                <w:lang w:val="en-GB"/>
              </w:rPr>
              <w:t>NIHS</w:t>
            </w:r>
          </w:p>
        </w:tc>
      </w:tr>
      <w:tr w:rsidR="00FC3917" w:rsidRPr="00FC3917" w:rsidTr="00461457">
        <w:tc>
          <w:tcPr>
            <w:tcW w:w="4621" w:type="dxa"/>
          </w:tcPr>
          <w:p w:rsidR="00FC3917" w:rsidRPr="00FC3917" w:rsidRDefault="00FC3917" w:rsidP="00461457">
            <w:pPr>
              <w:spacing w:line="276" w:lineRule="auto"/>
              <w:rPr>
                <w:rFonts w:ascii="Times New Roman" w:hAnsi="Times New Roman" w:cs="Times New Roman"/>
                <w:sz w:val="24"/>
                <w:szCs w:val="24"/>
                <w:lang w:val="en-GB"/>
              </w:rPr>
            </w:pPr>
            <w:r w:rsidRPr="00FC3917">
              <w:rPr>
                <w:rFonts w:ascii="Times New Roman" w:hAnsi="Times New Roman" w:cs="Times New Roman"/>
                <w:sz w:val="24"/>
                <w:szCs w:val="24"/>
                <w:lang w:val="en-GB"/>
              </w:rPr>
              <w:t>Some people suffer from chronic or long-term health problems. By long-term we mean it has troubled you over a period of time or is likely to affect you over a period of time.</w:t>
            </w: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b/>
                <w:sz w:val="24"/>
                <w:szCs w:val="24"/>
                <w:lang w:val="en-GB"/>
              </w:rPr>
            </w:pPr>
            <w:r w:rsidRPr="00FC3917">
              <w:rPr>
                <w:rFonts w:ascii="Times New Roman" w:hAnsi="Times New Roman" w:cs="Times New Roman"/>
                <w:sz w:val="24"/>
                <w:szCs w:val="24"/>
                <w:lang w:val="en-GB"/>
              </w:rPr>
              <w:t xml:space="preserve">1. Do you have any long-term health problems, illness, disability or infirmity? NOTE: </w:t>
            </w:r>
          </w:p>
          <w:p w:rsidR="00FC3917" w:rsidRPr="00FC3917" w:rsidRDefault="00FC3917" w:rsidP="00461457">
            <w:pPr>
              <w:spacing w:line="276" w:lineRule="auto"/>
              <w:rPr>
                <w:rFonts w:ascii="Times New Roman" w:hAnsi="Times New Roman" w:cs="Times New Roman"/>
                <w:sz w:val="24"/>
                <w:szCs w:val="24"/>
                <w:lang w:val="en-GB"/>
              </w:rPr>
            </w:pPr>
            <w:r w:rsidRPr="00FC3917">
              <w:rPr>
                <w:rFonts w:ascii="Times New Roman" w:hAnsi="Times New Roman" w:cs="Times New Roman"/>
                <w:sz w:val="24"/>
                <w:szCs w:val="24"/>
                <w:lang w:val="en-GB"/>
              </w:rPr>
              <w:t>INCLUDING MENTAL HEALTH PROBLEMS (yes/no)</w:t>
            </w: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r w:rsidRPr="00FC3917">
              <w:rPr>
                <w:rFonts w:ascii="Times New Roman" w:hAnsi="Times New Roman" w:cs="Times New Roman"/>
                <w:sz w:val="24"/>
                <w:szCs w:val="24"/>
                <w:lang w:val="en-GB"/>
              </w:rPr>
              <w:t>2. Does this illness or disability limit your activities in any way? (yes/no)</w:t>
            </w:r>
          </w:p>
        </w:tc>
        <w:tc>
          <w:tcPr>
            <w:tcW w:w="4621" w:type="dxa"/>
          </w:tcPr>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E54E2D" w:rsidRDefault="00E54E2D"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r w:rsidRPr="00FC3917">
              <w:rPr>
                <w:rFonts w:ascii="Times New Roman" w:hAnsi="Times New Roman" w:cs="Times New Roman"/>
                <w:sz w:val="24"/>
                <w:szCs w:val="24"/>
                <w:lang w:val="en-GB"/>
              </w:rPr>
              <w:t>1. Do you have any long-standing illness, disability or infirmity? By “long-standing” I mean anything that has troubled you over a period of time or that is likely to affect you over a period of time? (yes/no)</w:t>
            </w: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p>
          <w:p w:rsidR="00FC3917" w:rsidRPr="00FC3917" w:rsidRDefault="00FC3917" w:rsidP="00461457">
            <w:pPr>
              <w:spacing w:line="276" w:lineRule="auto"/>
              <w:rPr>
                <w:rFonts w:ascii="Times New Roman" w:hAnsi="Times New Roman" w:cs="Times New Roman"/>
                <w:sz w:val="24"/>
                <w:szCs w:val="24"/>
                <w:lang w:val="en-GB"/>
              </w:rPr>
            </w:pPr>
            <w:r w:rsidRPr="00FC3917">
              <w:rPr>
                <w:rFonts w:ascii="Times New Roman" w:hAnsi="Times New Roman" w:cs="Times New Roman"/>
                <w:sz w:val="24"/>
                <w:szCs w:val="24"/>
                <w:lang w:val="en-GB"/>
              </w:rPr>
              <w:t>2. Does this illness or disability limit your activities in any way? (yes/no)</w:t>
            </w:r>
          </w:p>
        </w:tc>
      </w:tr>
    </w:tbl>
    <w:p w:rsidR="00FC3917" w:rsidRDefault="00FC3917" w:rsidP="00461457">
      <w:pPr>
        <w:spacing w:after="0" w:line="360" w:lineRule="auto"/>
        <w:rPr>
          <w:rFonts w:ascii="Times New Roman" w:hAnsi="Times New Roman" w:cs="Times New Roman"/>
          <w:sz w:val="24"/>
          <w:szCs w:val="24"/>
        </w:rPr>
      </w:pPr>
    </w:p>
    <w:p w:rsidR="00FC3917" w:rsidRDefault="00FC3917" w:rsidP="00461457">
      <w:pPr>
        <w:spacing w:after="0" w:line="360" w:lineRule="auto"/>
        <w:rPr>
          <w:rFonts w:ascii="Times New Roman" w:hAnsi="Times New Roman" w:cs="Times New Roman"/>
          <w:sz w:val="24"/>
          <w:szCs w:val="24"/>
        </w:rPr>
      </w:pPr>
    </w:p>
    <w:p w:rsidR="006840B1" w:rsidRPr="00DD46E2" w:rsidRDefault="00F92351" w:rsidP="00461457">
      <w:pPr>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Respondents were deemed to have CHD-related disability if </w:t>
      </w:r>
      <w:r w:rsidR="00E54E2D">
        <w:rPr>
          <w:rFonts w:ascii="Times New Roman" w:hAnsi="Times New Roman" w:cs="Times New Roman"/>
          <w:sz w:val="24"/>
          <w:szCs w:val="24"/>
        </w:rPr>
        <w:t>they had both CHD and a LLTI</w:t>
      </w:r>
      <w:r>
        <w:rPr>
          <w:rFonts w:ascii="Times New Roman" w:hAnsi="Times New Roman" w:cs="Times New Roman"/>
          <w:sz w:val="24"/>
          <w:szCs w:val="24"/>
        </w:rPr>
        <w:t xml:space="preserve">.  </w:t>
      </w:r>
      <w:r w:rsidR="0041120A">
        <w:rPr>
          <w:rFonts w:ascii="Times New Roman" w:hAnsi="Times New Roman" w:cs="Times New Roman"/>
          <w:sz w:val="24"/>
          <w:szCs w:val="24"/>
        </w:rPr>
        <w:t>Hereafter, CHD-related disability will be referred to as disability.</w:t>
      </w:r>
    </w:p>
    <w:p w:rsidR="007D4372" w:rsidRDefault="007D4372" w:rsidP="00461457">
      <w:pPr>
        <w:spacing w:after="0" w:line="360" w:lineRule="auto"/>
        <w:rPr>
          <w:rFonts w:ascii="Times New Roman" w:hAnsi="Times New Roman" w:cs="Times New Roman"/>
          <w:sz w:val="24"/>
          <w:szCs w:val="24"/>
        </w:rPr>
      </w:pPr>
    </w:p>
    <w:p w:rsidR="00E62283" w:rsidRPr="008477B2" w:rsidRDefault="00E62283" w:rsidP="00461457">
      <w:pPr>
        <w:spacing w:after="0" w:line="360" w:lineRule="auto"/>
        <w:rPr>
          <w:rFonts w:ascii="Times New Roman" w:hAnsi="Times New Roman" w:cs="Times New Roman"/>
          <w:sz w:val="24"/>
          <w:szCs w:val="24"/>
        </w:rPr>
      </w:pPr>
      <w:r w:rsidRPr="008477B2">
        <w:rPr>
          <w:rFonts w:ascii="Times New Roman" w:hAnsi="Times New Roman" w:cs="Times New Roman"/>
          <w:sz w:val="24"/>
          <w:szCs w:val="24"/>
        </w:rPr>
        <w:t>Risk factors</w:t>
      </w:r>
    </w:p>
    <w:p w:rsidR="00320D25" w:rsidRPr="00320D25" w:rsidRDefault="00320D25" w:rsidP="00461457">
      <w:pPr>
        <w:spacing w:after="0" w:line="360" w:lineRule="auto"/>
        <w:rPr>
          <w:rFonts w:ascii="Times New Roman" w:hAnsi="Times New Roman" w:cs="Times New Roman"/>
          <w:sz w:val="24"/>
          <w:szCs w:val="24"/>
          <w:lang w:val="en-GB"/>
        </w:rPr>
      </w:pPr>
      <w:r w:rsidRPr="00320D25">
        <w:rPr>
          <w:rFonts w:ascii="Times New Roman" w:hAnsi="Times New Roman" w:cs="Times New Roman"/>
          <w:sz w:val="24"/>
          <w:szCs w:val="24"/>
          <w:lang w:val="en-GB"/>
        </w:rPr>
        <w:t>Five established risk factors were included in the study and coding for these variables was standardised across the two datasets in order to facilitate merging of datasets.  How each risk factor was defined is described below.</w:t>
      </w:r>
    </w:p>
    <w:p w:rsidR="00320D25" w:rsidRDefault="00320D25" w:rsidP="00461457">
      <w:pPr>
        <w:spacing w:after="0" w:line="360" w:lineRule="auto"/>
        <w:rPr>
          <w:rFonts w:ascii="Times New Roman" w:hAnsi="Times New Roman" w:cs="Times New Roman"/>
          <w:sz w:val="24"/>
          <w:szCs w:val="24"/>
        </w:rPr>
      </w:pPr>
    </w:p>
    <w:p w:rsidR="00E62283" w:rsidRDefault="0011738B"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Smoking status </w:t>
      </w:r>
      <w:r w:rsidR="00320D25">
        <w:rPr>
          <w:rFonts w:ascii="Times New Roman" w:hAnsi="Times New Roman" w:cs="Times New Roman"/>
          <w:sz w:val="24"/>
          <w:szCs w:val="24"/>
        </w:rPr>
        <w:t xml:space="preserve">(i.e., </w:t>
      </w:r>
      <w:r>
        <w:rPr>
          <w:rFonts w:ascii="Times New Roman" w:hAnsi="Times New Roman" w:cs="Times New Roman"/>
          <w:sz w:val="24"/>
          <w:szCs w:val="24"/>
        </w:rPr>
        <w:t>current smokers</w:t>
      </w:r>
      <w:r w:rsidR="00320D25">
        <w:rPr>
          <w:rFonts w:ascii="Times New Roman" w:hAnsi="Times New Roman" w:cs="Times New Roman"/>
          <w:sz w:val="24"/>
          <w:szCs w:val="24"/>
        </w:rPr>
        <w:t xml:space="preserve"> vs never smoked</w:t>
      </w:r>
      <w:r w:rsidR="00190530">
        <w:rPr>
          <w:rFonts w:ascii="Times New Roman" w:hAnsi="Times New Roman" w:cs="Times New Roman"/>
          <w:sz w:val="24"/>
          <w:szCs w:val="24"/>
        </w:rPr>
        <w:t xml:space="preserve"> [reference]</w:t>
      </w:r>
      <w:r>
        <w:rPr>
          <w:rFonts w:ascii="Times New Roman" w:hAnsi="Times New Roman" w:cs="Times New Roman"/>
          <w:sz w:val="24"/>
          <w:szCs w:val="24"/>
        </w:rPr>
        <w:t xml:space="preserve">) and whether the respondent had diabetes </w:t>
      </w:r>
      <w:r w:rsidR="00320D25">
        <w:rPr>
          <w:rFonts w:ascii="Times New Roman" w:hAnsi="Times New Roman" w:cs="Times New Roman"/>
          <w:sz w:val="24"/>
          <w:szCs w:val="24"/>
        </w:rPr>
        <w:t>(yes</w:t>
      </w:r>
      <w:r w:rsidR="00190530">
        <w:rPr>
          <w:rFonts w:ascii="Times New Roman" w:hAnsi="Times New Roman" w:cs="Times New Roman"/>
          <w:sz w:val="24"/>
          <w:szCs w:val="24"/>
        </w:rPr>
        <w:t xml:space="preserve"> vs </w:t>
      </w:r>
      <w:r w:rsidR="00320D25">
        <w:rPr>
          <w:rFonts w:ascii="Times New Roman" w:hAnsi="Times New Roman" w:cs="Times New Roman"/>
          <w:sz w:val="24"/>
          <w:szCs w:val="24"/>
        </w:rPr>
        <w:t>no</w:t>
      </w:r>
      <w:r w:rsidR="00190530">
        <w:rPr>
          <w:rFonts w:ascii="Times New Roman" w:hAnsi="Times New Roman" w:cs="Times New Roman"/>
          <w:sz w:val="24"/>
          <w:szCs w:val="24"/>
        </w:rPr>
        <w:t xml:space="preserve"> [reference]</w:t>
      </w:r>
      <w:r w:rsidR="00320D25">
        <w:rPr>
          <w:rFonts w:ascii="Times New Roman" w:hAnsi="Times New Roman" w:cs="Times New Roman"/>
          <w:sz w:val="24"/>
          <w:szCs w:val="24"/>
        </w:rPr>
        <w:t xml:space="preserve">) </w:t>
      </w:r>
      <w:r>
        <w:rPr>
          <w:rFonts w:ascii="Times New Roman" w:hAnsi="Times New Roman" w:cs="Times New Roman"/>
          <w:sz w:val="24"/>
          <w:szCs w:val="24"/>
        </w:rPr>
        <w:t>was derived from information provided during the CAPI (i.e., self-report) for both TILDA and NIHS</w:t>
      </w:r>
      <w:r w:rsidR="004D072A">
        <w:rPr>
          <w:rFonts w:ascii="Times New Roman" w:hAnsi="Times New Roman" w:cs="Times New Roman"/>
          <w:sz w:val="24"/>
          <w:szCs w:val="24"/>
        </w:rPr>
        <w:t>.</w:t>
      </w:r>
    </w:p>
    <w:p w:rsidR="00E62283" w:rsidRPr="00EF7A6E" w:rsidRDefault="00E62283" w:rsidP="00461457">
      <w:pPr>
        <w:spacing w:after="0" w:line="360" w:lineRule="auto"/>
        <w:rPr>
          <w:rFonts w:ascii="Times New Roman" w:hAnsi="Times New Roman" w:cs="Times New Roman"/>
          <w:sz w:val="24"/>
          <w:szCs w:val="24"/>
        </w:rPr>
      </w:pPr>
    </w:p>
    <w:p w:rsidR="00E62283" w:rsidRPr="00FE04B3" w:rsidRDefault="00E62283" w:rsidP="00461457">
      <w:pPr>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Respondents’ </w:t>
      </w:r>
      <w:r w:rsidR="003A08A3">
        <w:rPr>
          <w:rFonts w:ascii="Times New Roman" w:hAnsi="Times New Roman" w:cs="Times New Roman"/>
          <w:sz w:val="24"/>
          <w:szCs w:val="24"/>
        </w:rPr>
        <w:t>body mass index (</w:t>
      </w:r>
      <w:r>
        <w:rPr>
          <w:rFonts w:ascii="Times New Roman" w:hAnsi="Times New Roman" w:cs="Times New Roman"/>
          <w:sz w:val="24"/>
          <w:szCs w:val="24"/>
        </w:rPr>
        <w:t>BMI</w:t>
      </w:r>
      <w:r w:rsidR="003A08A3">
        <w:rPr>
          <w:rFonts w:ascii="Times New Roman" w:hAnsi="Times New Roman" w:cs="Times New Roman"/>
          <w:sz w:val="24"/>
          <w:szCs w:val="24"/>
        </w:rPr>
        <w:t>)</w:t>
      </w:r>
      <w:r>
        <w:rPr>
          <w:rFonts w:ascii="Times New Roman" w:hAnsi="Times New Roman" w:cs="Times New Roman"/>
          <w:sz w:val="24"/>
          <w:szCs w:val="24"/>
        </w:rPr>
        <w:t xml:space="preserve"> </w:t>
      </w:r>
      <w:r w:rsidR="00C10865">
        <w:rPr>
          <w:rFonts w:ascii="Times New Roman" w:hAnsi="Times New Roman" w:cs="Times New Roman"/>
          <w:sz w:val="24"/>
          <w:szCs w:val="24"/>
        </w:rPr>
        <w:t>categorisations</w:t>
      </w:r>
      <w:r>
        <w:rPr>
          <w:rFonts w:ascii="Times New Roman" w:hAnsi="Times New Roman" w:cs="Times New Roman"/>
          <w:sz w:val="24"/>
          <w:szCs w:val="24"/>
        </w:rPr>
        <w:t xml:space="preserve"> </w:t>
      </w:r>
      <w:r w:rsidR="00C10865">
        <w:rPr>
          <w:rFonts w:ascii="Times New Roman" w:hAnsi="Times New Roman" w:cs="Times New Roman"/>
          <w:sz w:val="24"/>
          <w:szCs w:val="24"/>
        </w:rPr>
        <w:t>(derived from</w:t>
      </w:r>
      <w:r w:rsidR="0011738B">
        <w:rPr>
          <w:rFonts w:ascii="Times New Roman" w:hAnsi="Times New Roman" w:cs="Times New Roman"/>
          <w:sz w:val="24"/>
          <w:szCs w:val="24"/>
        </w:rPr>
        <w:t xml:space="preserve"> anthropometric</w:t>
      </w:r>
      <w:r w:rsidR="00D71E79">
        <w:rPr>
          <w:rFonts w:ascii="Times New Roman" w:hAnsi="Times New Roman" w:cs="Times New Roman"/>
          <w:sz w:val="24"/>
          <w:szCs w:val="24"/>
        </w:rPr>
        <w:t xml:space="preserve"> measurement of weight and height</w:t>
      </w:r>
      <w:r w:rsidR="0011738B">
        <w:rPr>
          <w:rFonts w:ascii="Times New Roman" w:hAnsi="Times New Roman" w:cs="Times New Roman"/>
          <w:sz w:val="24"/>
          <w:szCs w:val="24"/>
        </w:rPr>
        <w:t xml:space="preserve"> in </w:t>
      </w:r>
      <w:r w:rsidR="00D71E79">
        <w:rPr>
          <w:rFonts w:ascii="Times New Roman" w:hAnsi="Times New Roman" w:cs="Times New Roman"/>
          <w:sz w:val="24"/>
          <w:szCs w:val="24"/>
        </w:rPr>
        <w:t xml:space="preserve">both </w:t>
      </w:r>
      <w:r w:rsidR="0011738B">
        <w:rPr>
          <w:rFonts w:ascii="Times New Roman" w:hAnsi="Times New Roman" w:cs="Times New Roman"/>
          <w:sz w:val="24"/>
          <w:szCs w:val="24"/>
        </w:rPr>
        <w:t>TILDA and</w:t>
      </w:r>
      <w:r w:rsidR="00C10865">
        <w:rPr>
          <w:rFonts w:ascii="Times New Roman" w:hAnsi="Times New Roman" w:cs="Times New Roman"/>
          <w:sz w:val="24"/>
          <w:szCs w:val="24"/>
        </w:rPr>
        <w:t xml:space="preserve"> </w:t>
      </w:r>
      <w:r w:rsidR="0011738B">
        <w:rPr>
          <w:rFonts w:ascii="Times New Roman" w:hAnsi="Times New Roman" w:cs="Times New Roman"/>
          <w:sz w:val="24"/>
          <w:szCs w:val="24"/>
        </w:rPr>
        <w:t>NIHS</w:t>
      </w:r>
      <w:r w:rsidR="00C10865">
        <w:rPr>
          <w:rFonts w:ascii="Times New Roman" w:hAnsi="Times New Roman" w:cs="Times New Roman"/>
          <w:sz w:val="24"/>
          <w:szCs w:val="24"/>
        </w:rPr>
        <w:t xml:space="preserve">) </w:t>
      </w:r>
      <w:r>
        <w:rPr>
          <w:rFonts w:ascii="Times New Roman" w:hAnsi="Times New Roman" w:cs="Times New Roman"/>
          <w:sz w:val="24"/>
          <w:szCs w:val="24"/>
        </w:rPr>
        <w:t xml:space="preserve">were based on the </w:t>
      </w:r>
      <w:r w:rsidR="003A08A3">
        <w:rPr>
          <w:rFonts w:ascii="Times New Roman" w:hAnsi="Times New Roman" w:cs="Times New Roman"/>
          <w:sz w:val="24"/>
          <w:szCs w:val="24"/>
        </w:rPr>
        <w:t>World Health Organi</w:t>
      </w:r>
      <w:r w:rsidR="00382E95">
        <w:rPr>
          <w:rFonts w:ascii="Times New Roman" w:hAnsi="Times New Roman" w:cs="Times New Roman"/>
          <w:sz w:val="24"/>
          <w:szCs w:val="24"/>
        </w:rPr>
        <w:t>z</w:t>
      </w:r>
      <w:r w:rsidR="003A08A3">
        <w:rPr>
          <w:rFonts w:ascii="Times New Roman" w:hAnsi="Times New Roman" w:cs="Times New Roman"/>
          <w:sz w:val="24"/>
          <w:szCs w:val="24"/>
        </w:rPr>
        <w:t>ation’s (</w:t>
      </w:r>
      <w:r>
        <w:rPr>
          <w:rFonts w:ascii="Times New Roman" w:hAnsi="Times New Roman" w:cs="Times New Roman"/>
          <w:sz w:val="24"/>
          <w:szCs w:val="24"/>
        </w:rPr>
        <w:t>WHO</w:t>
      </w:r>
      <w:r w:rsidR="003A08A3">
        <w:rPr>
          <w:rFonts w:ascii="Times New Roman" w:hAnsi="Times New Roman" w:cs="Times New Roman"/>
          <w:sz w:val="24"/>
          <w:szCs w:val="24"/>
        </w:rPr>
        <w:t>)</w:t>
      </w:r>
      <w:r>
        <w:rPr>
          <w:rFonts w:ascii="Times New Roman" w:hAnsi="Times New Roman" w:cs="Times New Roman"/>
          <w:sz w:val="24"/>
          <w:szCs w:val="24"/>
        </w:rPr>
        <w:t xml:space="preserve"> classifications of underweight (&lt;18.5), normal weight (18.5-24.99 kg/m</w:t>
      </w:r>
      <w:r w:rsidRPr="00D00A73">
        <w:rPr>
          <w:rFonts w:ascii="Times New Roman" w:hAnsi="Times New Roman" w:cs="Times New Roman"/>
          <w:sz w:val="24"/>
          <w:szCs w:val="24"/>
          <w:vertAlign w:val="superscript"/>
        </w:rPr>
        <w:t>2</w:t>
      </w:r>
      <w:r>
        <w:rPr>
          <w:rFonts w:ascii="Times New Roman" w:hAnsi="Times New Roman" w:cs="Times New Roman"/>
          <w:sz w:val="24"/>
          <w:szCs w:val="24"/>
        </w:rPr>
        <w:t>), overweight (25-29.99 kg/m</w:t>
      </w:r>
      <w:r w:rsidRPr="00D00A73">
        <w:rPr>
          <w:rFonts w:ascii="Times New Roman" w:hAnsi="Times New Roman" w:cs="Times New Roman"/>
          <w:sz w:val="24"/>
          <w:szCs w:val="24"/>
          <w:vertAlign w:val="superscript"/>
        </w:rPr>
        <w:t>2</w:t>
      </w:r>
      <w:r>
        <w:rPr>
          <w:rFonts w:ascii="Times New Roman" w:hAnsi="Times New Roman" w:cs="Times New Roman"/>
          <w:sz w:val="24"/>
          <w:szCs w:val="24"/>
        </w:rPr>
        <w:t>), and obese (&gt;30 kg/m</w:t>
      </w:r>
      <w:r w:rsidRPr="00D00A7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E04B3">
        <w:rPr>
          <w:rFonts w:ascii="Times New Roman" w:hAnsi="Times New Roman" w:cs="Times New Roman"/>
          <w:sz w:val="24"/>
          <w:szCs w:val="24"/>
        </w:rPr>
        <w:t>In order to ensure adequate sample sizes in each category the</w:t>
      </w:r>
      <w:r>
        <w:rPr>
          <w:rFonts w:ascii="Times New Roman" w:hAnsi="Times New Roman" w:cs="Times New Roman"/>
          <w:sz w:val="24"/>
          <w:szCs w:val="24"/>
        </w:rPr>
        <w:t xml:space="preserve"> </w:t>
      </w:r>
      <w:r w:rsidR="00FE04B3">
        <w:rPr>
          <w:rFonts w:ascii="Times New Roman" w:hAnsi="Times New Roman" w:cs="Times New Roman"/>
          <w:sz w:val="24"/>
          <w:szCs w:val="24"/>
        </w:rPr>
        <w:t xml:space="preserve">underweight and normal categories </w:t>
      </w:r>
      <w:r>
        <w:rPr>
          <w:rFonts w:ascii="Times New Roman" w:hAnsi="Times New Roman" w:cs="Times New Roman"/>
          <w:sz w:val="24"/>
          <w:szCs w:val="24"/>
        </w:rPr>
        <w:t xml:space="preserve">were aggregated into </w:t>
      </w:r>
      <w:r w:rsidR="00FE04B3">
        <w:rPr>
          <w:rFonts w:ascii="Times New Roman" w:hAnsi="Times New Roman" w:cs="Times New Roman"/>
          <w:sz w:val="24"/>
          <w:szCs w:val="24"/>
        </w:rPr>
        <w:t>one category</w:t>
      </w:r>
      <w:r>
        <w:rPr>
          <w:rFonts w:ascii="Times New Roman" w:hAnsi="Times New Roman" w:cs="Times New Roman"/>
          <w:sz w:val="24"/>
          <w:szCs w:val="24"/>
        </w:rPr>
        <w:t>.</w:t>
      </w:r>
      <w:r w:rsidR="00190530">
        <w:rPr>
          <w:rFonts w:ascii="Times New Roman" w:hAnsi="Times New Roman" w:cs="Times New Roman"/>
          <w:sz w:val="24"/>
          <w:szCs w:val="24"/>
        </w:rPr>
        <w:t xml:space="preserve">  This paper focuses on obesity versus the underweight/normal group.</w:t>
      </w:r>
    </w:p>
    <w:p w:rsidR="00E62283" w:rsidRDefault="00E62283" w:rsidP="00461457">
      <w:pPr>
        <w:spacing w:after="0" w:line="360" w:lineRule="auto"/>
        <w:rPr>
          <w:rFonts w:ascii="Times New Roman" w:hAnsi="Times New Roman" w:cs="Times New Roman"/>
          <w:sz w:val="24"/>
          <w:szCs w:val="24"/>
        </w:rPr>
      </w:pPr>
    </w:p>
    <w:p w:rsidR="00090DB2" w:rsidRPr="00090DB2" w:rsidRDefault="00E62283" w:rsidP="00461457">
      <w:pPr>
        <w:spacing w:after="0" w:line="360" w:lineRule="auto"/>
        <w:rPr>
          <w:rFonts w:ascii="Times New Roman" w:hAnsi="Times New Roman" w:cs="Times New Roman"/>
          <w:i/>
          <w:iCs/>
          <w:sz w:val="24"/>
          <w:szCs w:val="24"/>
          <w:lang w:val="en-GB"/>
        </w:rPr>
      </w:pPr>
      <w:r>
        <w:rPr>
          <w:rFonts w:ascii="Times New Roman" w:hAnsi="Times New Roman" w:cs="Times New Roman"/>
          <w:sz w:val="24"/>
          <w:szCs w:val="24"/>
        </w:rPr>
        <w:t>Respondents were categorised as ‘physical</w:t>
      </w:r>
      <w:r w:rsidR="00F139E6">
        <w:rPr>
          <w:rFonts w:ascii="Times New Roman" w:hAnsi="Times New Roman" w:cs="Times New Roman"/>
          <w:sz w:val="24"/>
          <w:szCs w:val="24"/>
        </w:rPr>
        <w:t>ly</w:t>
      </w:r>
      <w:r>
        <w:rPr>
          <w:rFonts w:ascii="Times New Roman" w:hAnsi="Times New Roman" w:cs="Times New Roman"/>
          <w:sz w:val="24"/>
          <w:szCs w:val="24"/>
        </w:rPr>
        <w:t xml:space="preserve"> </w:t>
      </w:r>
      <w:r w:rsidR="00F139E6">
        <w:rPr>
          <w:rFonts w:ascii="Times New Roman" w:hAnsi="Times New Roman" w:cs="Times New Roman"/>
          <w:sz w:val="24"/>
          <w:szCs w:val="24"/>
        </w:rPr>
        <w:t>inactive’ (low le</w:t>
      </w:r>
      <w:r w:rsidR="004D072A">
        <w:rPr>
          <w:rFonts w:ascii="Times New Roman" w:hAnsi="Times New Roman" w:cs="Times New Roman"/>
          <w:sz w:val="24"/>
          <w:szCs w:val="24"/>
        </w:rPr>
        <w:t xml:space="preserve">vels of physical activity) </w:t>
      </w:r>
      <w:r w:rsidR="00FE04B3">
        <w:rPr>
          <w:rFonts w:ascii="Times New Roman" w:hAnsi="Times New Roman" w:cs="Times New Roman"/>
          <w:sz w:val="24"/>
          <w:szCs w:val="24"/>
        </w:rPr>
        <w:t xml:space="preserve">versus </w:t>
      </w:r>
      <w:r w:rsidR="001F1FC7">
        <w:rPr>
          <w:rFonts w:ascii="Times New Roman" w:hAnsi="Times New Roman" w:cs="Times New Roman"/>
          <w:sz w:val="24"/>
          <w:szCs w:val="24"/>
        </w:rPr>
        <w:t>‘physically active’</w:t>
      </w:r>
      <w:r w:rsidR="00F139E6">
        <w:rPr>
          <w:rFonts w:ascii="Times New Roman" w:hAnsi="Times New Roman" w:cs="Times New Roman"/>
          <w:sz w:val="24"/>
          <w:szCs w:val="24"/>
        </w:rPr>
        <w:t xml:space="preserve"> (moderate or high levels of physical activity)</w:t>
      </w:r>
      <w:r w:rsidR="004D072A">
        <w:rPr>
          <w:rFonts w:ascii="Times New Roman" w:hAnsi="Times New Roman" w:cs="Times New Roman"/>
          <w:sz w:val="24"/>
          <w:szCs w:val="24"/>
        </w:rPr>
        <w:t xml:space="preserve"> based on their responses to the International Physical Activity Questionnaire Short Form (IPAQ</w:t>
      </w:r>
      <w:r w:rsidR="00382E95">
        <w:rPr>
          <w:rFonts w:ascii="Times New Roman" w:hAnsi="Times New Roman" w:cs="Times New Roman"/>
          <w:sz w:val="24"/>
          <w:szCs w:val="24"/>
        </w:rPr>
        <w:t>; Craig</w:t>
      </w:r>
      <w:r w:rsidR="00EE186D">
        <w:rPr>
          <w:rFonts w:ascii="Times New Roman" w:hAnsi="Times New Roman" w:cs="Times New Roman"/>
          <w:sz w:val="24"/>
          <w:szCs w:val="24"/>
        </w:rPr>
        <w:t xml:space="preserve"> </w:t>
      </w:r>
      <w:r w:rsidR="00382E95" w:rsidRPr="004E62A0">
        <w:rPr>
          <w:rFonts w:ascii="Times New Roman" w:hAnsi="Times New Roman" w:cs="Times New Roman"/>
          <w:sz w:val="24"/>
          <w:szCs w:val="24"/>
        </w:rPr>
        <w:t>et al</w:t>
      </w:r>
      <w:r w:rsidR="00382E95" w:rsidRPr="00EE186D">
        <w:rPr>
          <w:rFonts w:ascii="Times New Roman" w:hAnsi="Times New Roman" w:cs="Times New Roman"/>
          <w:sz w:val="24"/>
          <w:szCs w:val="24"/>
        </w:rPr>
        <w:t>., 2003</w:t>
      </w:r>
      <w:r w:rsidR="004D072A" w:rsidRPr="00EE186D">
        <w:rPr>
          <w:rFonts w:ascii="Times New Roman" w:hAnsi="Times New Roman" w:cs="Times New Roman"/>
          <w:sz w:val="24"/>
          <w:szCs w:val="24"/>
        </w:rPr>
        <w:t>)</w:t>
      </w:r>
      <w:r w:rsidR="0011738B">
        <w:rPr>
          <w:rFonts w:ascii="Times New Roman" w:hAnsi="Times New Roman" w:cs="Times New Roman"/>
          <w:sz w:val="24"/>
          <w:szCs w:val="24"/>
        </w:rPr>
        <w:t xml:space="preserve"> which was administered during the CAPI for both TILDA and</w:t>
      </w:r>
      <w:r w:rsidR="00FE04B3">
        <w:rPr>
          <w:rFonts w:ascii="Times New Roman" w:hAnsi="Times New Roman" w:cs="Times New Roman"/>
          <w:sz w:val="24"/>
          <w:szCs w:val="24"/>
        </w:rPr>
        <w:t xml:space="preserve"> the</w:t>
      </w:r>
      <w:r w:rsidR="0011738B">
        <w:rPr>
          <w:rFonts w:ascii="Times New Roman" w:hAnsi="Times New Roman" w:cs="Times New Roman"/>
          <w:sz w:val="24"/>
          <w:szCs w:val="24"/>
        </w:rPr>
        <w:t xml:space="preserve"> NIHS</w:t>
      </w:r>
      <w:r w:rsidR="004D072A" w:rsidRPr="00EE186D">
        <w:rPr>
          <w:rFonts w:ascii="Times New Roman" w:hAnsi="Times New Roman" w:cs="Times New Roman"/>
          <w:sz w:val="24"/>
          <w:szCs w:val="24"/>
        </w:rPr>
        <w:t>.</w:t>
      </w:r>
      <w:r w:rsidR="00090DB2">
        <w:rPr>
          <w:rFonts w:ascii="Times New Roman" w:hAnsi="Times New Roman" w:cs="Times New Roman"/>
          <w:sz w:val="24"/>
          <w:szCs w:val="24"/>
        </w:rPr>
        <w:t xml:space="preserve">  </w:t>
      </w:r>
      <w:r w:rsidR="00090DB2" w:rsidRPr="00090DB2">
        <w:rPr>
          <w:rFonts w:ascii="Times New Roman" w:hAnsi="Times New Roman" w:cs="Times New Roman"/>
          <w:sz w:val="24"/>
          <w:szCs w:val="24"/>
          <w:lang w:val="en-GB"/>
        </w:rPr>
        <w:t>Note that although the IPAQ categories were available as a derived variable in the TILDA dataset, the meta-data did not make clear how it had been derived; therefore, we derived our own IPAQ categorie</w:t>
      </w:r>
      <w:r w:rsidR="007963EB">
        <w:rPr>
          <w:rFonts w:ascii="Times New Roman" w:hAnsi="Times New Roman" w:cs="Times New Roman"/>
          <w:sz w:val="24"/>
          <w:szCs w:val="24"/>
          <w:lang w:val="en-GB"/>
        </w:rPr>
        <w:t xml:space="preserve">s using raw data in TILDA thus ensuring comparability with our treatment of the </w:t>
      </w:r>
      <w:r w:rsidR="00090DB2" w:rsidRPr="00090DB2">
        <w:rPr>
          <w:rFonts w:ascii="Times New Roman" w:hAnsi="Times New Roman" w:cs="Times New Roman"/>
          <w:sz w:val="24"/>
          <w:szCs w:val="24"/>
          <w:lang w:val="en-GB"/>
        </w:rPr>
        <w:t>NIHS</w:t>
      </w:r>
      <w:r w:rsidR="007963EB">
        <w:rPr>
          <w:rFonts w:ascii="Times New Roman" w:hAnsi="Times New Roman" w:cs="Times New Roman"/>
          <w:sz w:val="24"/>
          <w:szCs w:val="24"/>
          <w:lang w:val="en-GB"/>
        </w:rPr>
        <w:t xml:space="preserve"> IPAQ data</w:t>
      </w:r>
      <w:r w:rsidR="00090DB2" w:rsidRPr="00090DB2">
        <w:rPr>
          <w:rFonts w:ascii="Times New Roman" w:hAnsi="Times New Roman" w:cs="Times New Roman"/>
          <w:sz w:val="24"/>
          <w:szCs w:val="24"/>
          <w:lang w:val="en-GB"/>
        </w:rPr>
        <w:t xml:space="preserve"> (using the authorised IPAQ scoring protocol – see </w:t>
      </w:r>
      <w:hyperlink r:id="rId13" w:history="1">
        <w:r w:rsidR="00787567" w:rsidRPr="0042153C">
          <w:rPr>
            <w:rStyle w:val="Hyperlink"/>
            <w:rFonts w:ascii="Times New Roman" w:hAnsi="Times New Roman" w:cs="Times New Roman"/>
            <w:sz w:val="24"/>
            <w:szCs w:val="24"/>
            <w:lang w:val="en-GB"/>
          </w:rPr>
          <w:t>https://sites.google.com/site/theipaq/scoring-protocol</w:t>
        </w:r>
      </w:hyperlink>
      <w:r w:rsidR="00090DB2" w:rsidRPr="00090DB2">
        <w:rPr>
          <w:rFonts w:ascii="Times New Roman" w:hAnsi="Times New Roman" w:cs="Times New Roman"/>
          <w:sz w:val="24"/>
          <w:szCs w:val="24"/>
          <w:lang w:val="en-GB"/>
        </w:rPr>
        <w:t>)</w:t>
      </w:r>
      <w:r w:rsidR="00090DB2">
        <w:rPr>
          <w:rFonts w:ascii="Times New Roman" w:hAnsi="Times New Roman" w:cs="Times New Roman"/>
          <w:sz w:val="24"/>
          <w:szCs w:val="24"/>
          <w:lang w:val="en-GB"/>
        </w:rPr>
        <w:t>.</w:t>
      </w:r>
    </w:p>
    <w:p w:rsidR="009872B8" w:rsidRDefault="009872B8" w:rsidP="00461457">
      <w:pPr>
        <w:spacing w:after="0" w:line="360" w:lineRule="auto"/>
        <w:rPr>
          <w:rFonts w:ascii="Times New Roman" w:hAnsi="Times New Roman" w:cs="Times New Roman"/>
          <w:sz w:val="24"/>
          <w:szCs w:val="24"/>
        </w:rPr>
      </w:pPr>
    </w:p>
    <w:p w:rsidR="00F266EF" w:rsidRPr="006D1949" w:rsidRDefault="00E62283" w:rsidP="00461457">
      <w:pPr>
        <w:spacing w:after="0" w:line="360" w:lineRule="auto"/>
        <w:rPr>
          <w:rFonts w:ascii="Times New Roman" w:hAnsi="Times New Roman"/>
          <w:sz w:val="24"/>
          <w:szCs w:val="24"/>
        </w:rPr>
      </w:pPr>
      <w:r>
        <w:rPr>
          <w:rFonts w:ascii="Times New Roman" w:hAnsi="Times New Roman"/>
          <w:sz w:val="24"/>
          <w:szCs w:val="24"/>
        </w:rPr>
        <w:t xml:space="preserve">In TILDA, depression </w:t>
      </w:r>
      <w:r w:rsidRPr="00E40210">
        <w:rPr>
          <w:rFonts w:ascii="Times New Roman" w:hAnsi="Times New Roman"/>
          <w:sz w:val="24"/>
          <w:szCs w:val="24"/>
        </w:rPr>
        <w:t>was</w:t>
      </w:r>
      <w:r>
        <w:rPr>
          <w:rFonts w:ascii="Times New Roman" w:hAnsi="Times New Roman"/>
          <w:sz w:val="24"/>
          <w:szCs w:val="24"/>
        </w:rPr>
        <w:t xml:space="preserve"> assessed </w:t>
      </w:r>
      <w:r w:rsidR="0011738B">
        <w:rPr>
          <w:rFonts w:ascii="Times New Roman" w:hAnsi="Times New Roman"/>
          <w:sz w:val="24"/>
          <w:szCs w:val="24"/>
        </w:rPr>
        <w:t xml:space="preserve">during the CAPI </w:t>
      </w:r>
      <w:r>
        <w:rPr>
          <w:rFonts w:ascii="Times New Roman" w:hAnsi="Times New Roman"/>
          <w:sz w:val="24"/>
          <w:szCs w:val="24"/>
        </w:rPr>
        <w:t>using</w:t>
      </w:r>
      <w:r w:rsidRPr="00E40210">
        <w:rPr>
          <w:rFonts w:ascii="Times New Roman" w:hAnsi="Times New Roman"/>
          <w:sz w:val="24"/>
          <w:szCs w:val="24"/>
        </w:rPr>
        <w:t xml:space="preserve"> the </w:t>
      </w:r>
      <w:r>
        <w:rPr>
          <w:rFonts w:ascii="Times New Roman" w:hAnsi="Times New Roman"/>
          <w:sz w:val="24"/>
          <w:szCs w:val="24"/>
        </w:rPr>
        <w:t>20</w:t>
      </w:r>
      <w:r w:rsidRPr="00E40210">
        <w:rPr>
          <w:rFonts w:ascii="Times New Roman" w:hAnsi="Times New Roman"/>
          <w:sz w:val="24"/>
          <w:szCs w:val="24"/>
        </w:rPr>
        <w:t xml:space="preserve">-item version of the </w:t>
      </w:r>
      <w:proofErr w:type="spellStart"/>
      <w:r w:rsidRPr="00E40210">
        <w:rPr>
          <w:rFonts w:ascii="Times New Roman" w:hAnsi="Times New Roman"/>
          <w:sz w:val="24"/>
          <w:szCs w:val="24"/>
        </w:rPr>
        <w:t>Center</w:t>
      </w:r>
      <w:proofErr w:type="spellEnd"/>
      <w:r w:rsidRPr="00E40210">
        <w:rPr>
          <w:rFonts w:ascii="Times New Roman" w:hAnsi="Times New Roman"/>
          <w:sz w:val="24"/>
          <w:szCs w:val="24"/>
        </w:rPr>
        <w:t xml:space="preserve"> for Epidemiologic </w:t>
      </w:r>
      <w:r w:rsidRPr="00253C5C">
        <w:rPr>
          <w:rFonts w:ascii="Times New Roman" w:hAnsi="Times New Roman"/>
          <w:sz w:val="24"/>
          <w:szCs w:val="24"/>
        </w:rPr>
        <w:t>Studies Depression Scale (CESD</w:t>
      </w:r>
      <w:r w:rsidR="00382E95">
        <w:rPr>
          <w:rFonts w:ascii="Times New Roman" w:hAnsi="Times New Roman"/>
          <w:sz w:val="24"/>
          <w:szCs w:val="24"/>
        </w:rPr>
        <w:t xml:space="preserve">; </w:t>
      </w:r>
      <w:proofErr w:type="spellStart"/>
      <w:r w:rsidR="00382E95">
        <w:rPr>
          <w:rFonts w:ascii="Times New Roman" w:hAnsi="Times New Roman"/>
          <w:sz w:val="24"/>
          <w:szCs w:val="24"/>
        </w:rPr>
        <w:t>Radloff</w:t>
      </w:r>
      <w:proofErr w:type="spellEnd"/>
      <w:r w:rsidR="00382E95">
        <w:rPr>
          <w:rFonts w:ascii="Times New Roman" w:hAnsi="Times New Roman"/>
          <w:sz w:val="24"/>
          <w:szCs w:val="24"/>
        </w:rPr>
        <w:t>, 1977</w:t>
      </w:r>
      <w:r w:rsidRPr="00253C5C">
        <w:rPr>
          <w:rFonts w:ascii="Times New Roman" w:hAnsi="Times New Roman"/>
          <w:sz w:val="24"/>
          <w:szCs w:val="24"/>
        </w:rPr>
        <w:t>).  The CESD was designed</w:t>
      </w:r>
      <w:r w:rsidRPr="00E40210">
        <w:rPr>
          <w:rFonts w:ascii="Times New Roman" w:hAnsi="Times New Roman"/>
          <w:sz w:val="24"/>
          <w:szCs w:val="24"/>
        </w:rPr>
        <w:t xml:space="preserve"> to screen for depressive symptomatology during the seven days preceding assessment</w:t>
      </w:r>
      <w:r>
        <w:rPr>
          <w:rFonts w:ascii="Times New Roman" w:hAnsi="Times New Roman"/>
          <w:sz w:val="24"/>
          <w:szCs w:val="24"/>
        </w:rPr>
        <w:t xml:space="preserve">.  </w:t>
      </w:r>
      <w:r w:rsidR="00BC497D">
        <w:rPr>
          <w:rFonts w:ascii="Times New Roman" w:hAnsi="Times New Roman"/>
          <w:sz w:val="24"/>
          <w:szCs w:val="24"/>
        </w:rPr>
        <w:t>A threshold</w:t>
      </w:r>
      <w:r w:rsidR="006840B1">
        <w:rPr>
          <w:rFonts w:ascii="Times New Roman" w:hAnsi="Times New Roman"/>
          <w:sz w:val="24"/>
          <w:szCs w:val="24"/>
        </w:rPr>
        <w:t xml:space="preserve"> of ≥16</w:t>
      </w:r>
      <w:r w:rsidR="006840B1" w:rsidRPr="00253C5C">
        <w:rPr>
          <w:rFonts w:ascii="Times New Roman" w:hAnsi="Times New Roman"/>
          <w:sz w:val="24"/>
          <w:szCs w:val="24"/>
        </w:rPr>
        <w:t xml:space="preserve"> on</w:t>
      </w:r>
      <w:r w:rsidR="006840B1" w:rsidRPr="00E40210">
        <w:rPr>
          <w:rFonts w:ascii="Times New Roman" w:hAnsi="Times New Roman"/>
          <w:sz w:val="24"/>
          <w:szCs w:val="24"/>
        </w:rPr>
        <w:t xml:space="preserve"> the total scale score </w:t>
      </w:r>
      <w:r w:rsidR="0034593B">
        <w:rPr>
          <w:rFonts w:ascii="Times New Roman" w:hAnsi="Times New Roman"/>
          <w:sz w:val="24"/>
          <w:szCs w:val="24"/>
        </w:rPr>
        <w:t xml:space="preserve">is suggested as </w:t>
      </w:r>
      <w:r w:rsidR="007C0FB3">
        <w:rPr>
          <w:rFonts w:ascii="Times New Roman" w:hAnsi="Times New Roman"/>
          <w:sz w:val="24"/>
          <w:szCs w:val="24"/>
        </w:rPr>
        <w:t xml:space="preserve">representing depression </w:t>
      </w:r>
      <w:r w:rsidR="006840B1">
        <w:rPr>
          <w:rFonts w:ascii="Times New Roman" w:hAnsi="Times New Roman"/>
          <w:sz w:val="24"/>
          <w:szCs w:val="24"/>
        </w:rPr>
        <w:t>in the clinical range</w:t>
      </w:r>
      <w:r w:rsidR="00382E95">
        <w:rPr>
          <w:rFonts w:ascii="Times New Roman" w:hAnsi="Times New Roman"/>
          <w:sz w:val="24"/>
          <w:szCs w:val="24"/>
        </w:rPr>
        <w:t xml:space="preserve"> (</w:t>
      </w:r>
      <w:proofErr w:type="spellStart"/>
      <w:r w:rsidR="00382E95">
        <w:rPr>
          <w:rFonts w:ascii="Times New Roman" w:hAnsi="Times New Roman"/>
          <w:sz w:val="24"/>
          <w:szCs w:val="24"/>
        </w:rPr>
        <w:t>Radloff</w:t>
      </w:r>
      <w:proofErr w:type="spellEnd"/>
      <w:r w:rsidR="00382E95">
        <w:rPr>
          <w:rFonts w:ascii="Times New Roman" w:hAnsi="Times New Roman"/>
          <w:sz w:val="24"/>
          <w:szCs w:val="24"/>
        </w:rPr>
        <w:t>, 1977)</w:t>
      </w:r>
      <w:r w:rsidR="000E57C3">
        <w:rPr>
          <w:rFonts w:ascii="Times New Roman" w:hAnsi="Times New Roman"/>
          <w:sz w:val="24"/>
          <w:szCs w:val="24"/>
        </w:rPr>
        <w:t>.</w:t>
      </w:r>
      <w:r w:rsidR="006840B1" w:rsidRPr="00E40210">
        <w:rPr>
          <w:rFonts w:ascii="Times New Roman" w:hAnsi="Times New Roman"/>
          <w:sz w:val="24"/>
          <w:szCs w:val="24"/>
        </w:rPr>
        <w:t xml:space="preserve"> </w:t>
      </w:r>
      <w:r w:rsidR="006840B1">
        <w:rPr>
          <w:rFonts w:ascii="Times New Roman" w:hAnsi="Times New Roman"/>
          <w:sz w:val="24"/>
          <w:szCs w:val="24"/>
        </w:rPr>
        <w:t xml:space="preserve"> </w:t>
      </w:r>
      <w:r>
        <w:rPr>
          <w:rFonts w:ascii="Times New Roman" w:hAnsi="Times New Roman" w:cs="Times New Roman"/>
          <w:sz w:val="24"/>
          <w:szCs w:val="24"/>
        </w:rPr>
        <w:t xml:space="preserve">In </w:t>
      </w:r>
      <w:r w:rsidR="00FE04B3">
        <w:rPr>
          <w:rFonts w:ascii="Times New Roman" w:hAnsi="Times New Roman" w:cs="Times New Roman"/>
          <w:sz w:val="24"/>
          <w:szCs w:val="24"/>
        </w:rPr>
        <w:t xml:space="preserve">the </w:t>
      </w:r>
      <w:r w:rsidRPr="007B445D">
        <w:rPr>
          <w:rFonts w:ascii="Times New Roman" w:hAnsi="Times New Roman" w:cs="Times New Roman"/>
          <w:sz w:val="24"/>
          <w:szCs w:val="24"/>
        </w:rPr>
        <w:t>NIHS, depression was assessed using the General Health Questionnaire</w:t>
      </w:r>
      <w:r w:rsidR="0034593B">
        <w:rPr>
          <w:rFonts w:ascii="Times New Roman" w:hAnsi="Times New Roman" w:cs="Times New Roman"/>
          <w:sz w:val="24"/>
          <w:szCs w:val="24"/>
        </w:rPr>
        <w:t xml:space="preserve"> (GHQ12</w:t>
      </w:r>
      <w:r w:rsidR="00382E95">
        <w:rPr>
          <w:rFonts w:ascii="Times New Roman" w:hAnsi="Times New Roman" w:cs="Times New Roman"/>
          <w:sz w:val="24"/>
          <w:szCs w:val="24"/>
        </w:rPr>
        <w:t>; Goldberg &amp; Williams, 1988</w:t>
      </w:r>
      <w:r w:rsidRPr="007B445D">
        <w:rPr>
          <w:rFonts w:ascii="Times New Roman" w:hAnsi="Times New Roman" w:cs="Times New Roman"/>
          <w:sz w:val="24"/>
          <w:szCs w:val="24"/>
        </w:rPr>
        <w:t xml:space="preserve">), a measure of </w:t>
      </w:r>
      <w:r w:rsidR="00F139E6">
        <w:rPr>
          <w:rFonts w:ascii="Times New Roman" w:hAnsi="Times New Roman" w:cs="Times New Roman"/>
          <w:sz w:val="24"/>
          <w:szCs w:val="24"/>
        </w:rPr>
        <w:t>common mental disorders</w:t>
      </w:r>
      <w:r w:rsidRPr="007B445D">
        <w:rPr>
          <w:rFonts w:ascii="Times New Roman" w:hAnsi="Times New Roman" w:cs="Times New Roman"/>
          <w:sz w:val="24"/>
          <w:szCs w:val="24"/>
        </w:rPr>
        <w:t xml:space="preserve"> for use in </w:t>
      </w:r>
      <w:r w:rsidRPr="00B76078">
        <w:rPr>
          <w:rFonts w:ascii="Times New Roman" w:hAnsi="Times New Roman" w:cs="Times New Roman"/>
          <w:sz w:val="24"/>
          <w:szCs w:val="24"/>
        </w:rPr>
        <w:t xml:space="preserve">population studies.  </w:t>
      </w:r>
      <w:r w:rsidR="00417A88">
        <w:rPr>
          <w:rFonts w:ascii="Times New Roman" w:hAnsi="Times New Roman" w:cs="Times New Roman"/>
          <w:sz w:val="24"/>
          <w:szCs w:val="24"/>
        </w:rPr>
        <w:t xml:space="preserve">The GHQ12 was self-administered during the CAPI (i.e., there is a section of the NIHS CAPI where the interviewer hands the participant the computer and allows them to self-complete the more sensitive components of the questionnaire).  </w:t>
      </w:r>
      <w:r w:rsidR="006840B1" w:rsidRPr="007B445D">
        <w:rPr>
          <w:rFonts w:ascii="Times New Roman" w:hAnsi="Times New Roman"/>
          <w:sz w:val="24"/>
          <w:szCs w:val="24"/>
        </w:rPr>
        <w:t>A score of ≥4 on the total scale score</w:t>
      </w:r>
      <w:r w:rsidR="006840B1">
        <w:rPr>
          <w:rFonts w:ascii="Times New Roman" w:hAnsi="Times New Roman" w:cs="Times New Roman"/>
          <w:sz w:val="24"/>
          <w:szCs w:val="24"/>
        </w:rPr>
        <w:t xml:space="preserve"> has been suggested as</w:t>
      </w:r>
      <w:r w:rsidR="006840B1" w:rsidRPr="007B445D">
        <w:rPr>
          <w:rFonts w:ascii="Times New Roman" w:hAnsi="Times New Roman" w:cs="Times New Roman"/>
          <w:sz w:val="24"/>
          <w:szCs w:val="24"/>
        </w:rPr>
        <w:t xml:space="preserve"> </w:t>
      </w:r>
      <w:r w:rsidR="0034593B">
        <w:rPr>
          <w:rFonts w:ascii="Times New Roman" w:hAnsi="Times New Roman" w:cs="Times New Roman"/>
          <w:sz w:val="24"/>
          <w:szCs w:val="24"/>
        </w:rPr>
        <w:t xml:space="preserve">an </w:t>
      </w:r>
      <w:r w:rsidR="006840B1" w:rsidRPr="007B445D">
        <w:rPr>
          <w:rFonts w:ascii="Times New Roman" w:hAnsi="Times New Roman" w:cs="Times New Roman"/>
          <w:sz w:val="24"/>
          <w:szCs w:val="24"/>
        </w:rPr>
        <w:t>appropria</w:t>
      </w:r>
      <w:r w:rsidR="006840B1">
        <w:rPr>
          <w:rFonts w:ascii="Times New Roman" w:hAnsi="Times New Roman" w:cs="Times New Roman"/>
          <w:sz w:val="24"/>
          <w:szCs w:val="24"/>
        </w:rPr>
        <w:t>te</w:t>
      </w:r>
      <w:r w:rsidR="0034593B">
        <w:rPr>
          <w:rFonts w:ascii="Times New Roman" w:hAnsi="Times New Roman" w:cs="Times New Roman"/>
          <w:sz w:val="24"/>
          <w:szCs w:val="24"/>
        </w:rPr>
        <w:t xml:space="preserve"> threshold to determine </w:t>
      </w:r>
      <w:r w:rsidR="00F139E6">
        <w:rPr>
          <w:rFonts w:ascii="Times New Roman" w:hAnsi="Times New Roman" w:cs="Times New Roman"/>
          <w:sz w:val="24"/>
          <w:szCs w:val="24"/>
        </w:rPr>
        <w:t xml:space="preserve">a mental disorder </w:t>
      </w:r>
      <w:r w:rsidR="009740CE">
        <w:rPr>
          <w:rFonts w:ascii="Times New Roman" w:hAnsi="Times New Roman" w:cs="Times New Roman"/>
          <w:sz w:val="24"/>
          <w:szCs w:val="24"/>
        </w:rPr>
        <w:t>in the clinical range</w:t>
      </w:r>
      <w:r w:rsidR="00382E95">
        <w:rPr>
          <w:rFonts w:ascii="Times New Roman" w:hAnsi="Times New Roman" w:cs="Times New Roman"/>
          <w:sz w:val="24"/>
          <w:szCs w:val="24"/>
        </w:rPr>
        <w:t xml:space="preserve"> Mari &amp; Williams, 1985)</w:t>
      </w:r>
      <w:r w:rsidR="009740CE">
        <w:rPr>
          <w:rFonts w:ascii="Times New Roman" w:hAnsi="Times New Roman" w:cs="Times New Roman"/>
          <w:sz w:val="24"/>
          <w:szCs w:val="24"/>
        </w:rPr>
        <w:t>.</w:t>
      </w:r>
      <w:r w:rsidR="0034593B">
        <w:rPr>
          <w:rFonts w:ascii="Times New Roman" w:hAnsi="Times New Roman" w:cs="Times New Roman"/>
          <w:sz w:val="24"/>
          <w:szCs w:val="24"/>
        </w:rPr>
        <w:t xml:space="preserve">  </w:t>
      </w:r>
      <w:r w:rsidR="006840B1">
        <w:rPr>
          <w:rFonts w:ascii="Times New Roman" w:hAnsi="Times New Roman" w:cs="Times New Roman"/>
          <w:sz w:val="24"/>
          <w:szCs w:val="24"/>
        </w:rPr>
        <w:t>Respondents were classified as depressed</w:t>
      </w:r>
      <w:r w:rsidR="003A08A3">
        <w:rPr>
          <w:rFonts w:ascii="Times New Roman" w:hAnsi="Times New Roman" w:cs="Times New Roman"/>
          <w:sz w:val="24"/>
          <w:szCs w:val="24"/>
        </w:rPr>
        <w:t xml:space="preserve"> </w:t>
      </w:r>
      <w:r w:rsidR="009E5B7F">
        <w:rPr>
          <w:rFonts w:ascii="Times New Roman" w:hAnsi="Times New Roman" w:cs="Times New Roman"/>
          <w:sz w:val="24"/>
          <w:szCs w:val="24"/>
        </w:rPr>
        <w:t xml:space="preserve">(i.e., </w:t>
      </w:r>
      <w:r w:rsidR="00FE04B3">
        <w:rPr>
          <w:rFonts w:ascii="Times New Roman" w:hAnsi="Times New Roman" w:cs="Times New Roman"/>
          <w:sz w:val="24"/>
          <w:szCs w:val="24"/>
        </w:rPr>
        <w:t xml:space="preserve">scores </w:t>
      </w:r>
      <w:r w:rsidR="009E5B7F">
        <w:rPr>
          <w:rFonts w:ascii="Times New Roman" w:hAnsi="Times New Roman" w:cs="Times New Roman"/>
          <w:sz w:val="24"/>
          <w:szCs w:val="24"/>
        </w:rPr>
        <w:t>at or above the recommended threshold)</w:t>
      </w:r>
      <w:r w:rsidR="00FE04B3">
        <w:rPr>
          <w:rFonts w:ascii="Times New Roman" w:hAnsi="Times New Roman" w:cs="Times New Roman"/>
          <w:sz w:val="24"/>
          <w:szCs w:val="24"/>
        </w:rPr>
        <w:t xml:space="preserve"> versus</w:t>
      </w:r>
      <w:r w:rsidR="006840B1">
        <w:rPr>
          <w:rFonts w:ascii="Times New Roman" w:hAnsi="Times New Roman" w:cs="Times New Roman"/>
          <w:sz w:val="24"/>
          <w:szCs w:val="24"/>
        </w:rPr>
        <w:t xml:space="preserve"> </w:t>
      </w:r>
      <w:r w:rsidR="009E5B7F">
        <w:rPr>
          <w:rFonts w:ascii="Times New Roman" w:hAnsi="Times New Roman" w:cs="Times New Roman"/>
          <w:sz w:val="24"/>
          <w:szCs w:val="24"/>
        </w:rPr>
        <w:t>not</w:t>
      </w:r>
      <w:r w:rsidR="00417A88">
        <w:rPr>
          <w:rFonts w:ascii="Times New Roman" w:hAnsi="Times New Roman" w:cs="Times New Roman"/>
          <w:sz w:val="24"/>
          <w:szCs w:val="24"/>
        </w:rPr>
        <w:t xml:space="preserve"> depressed (i.e.,</w:t>
      </w:r>
      <w:r w:rsidR="00FE04B3">
        <w:rPr>
          <w:rFonts w:ascii="Times New Roman" w:hAnsi="Times New Roman" w:cs="Times New Roman"/>
          <w:sz w:val="24"/>
          <w:szCs w:val="24"/>
        </w:rPr>
        <w:t xml:space="preserve"> scores below the recommended threshold)</w:t>
      </w:r>
      <w:r w:rsidR="00E81F39">
        <w:rPr>
          <w:rFonts w:ascii="Times New Roman" w:hAnsi="Times New Roman" w:cs="Times New Roman"/>
          <w:sz w:val="24"/>
          <w:szCs w:val="24"/>
        </w:rPr>
        <w:t>.</w:t>
      </w:r>
    </w:p>
    <w:p w:rsidR="009872B8" w:rsidRDefault="009872B8" w:rsidP="00461457">
      <w:pPr>
        <w:spacing w:after="0" w:line="360" w:lineRule="auto"/>
        <w:rPr>
          <w:rFonts w:ascii="Times New Roman" w:hAnsi="Times New Roman" w:cs="Times New Roman"/>
          <w:sz w:val="24"/>
          <w:szCs w:val="24"/>
        </w:rPr>
      </w:pPr>
    </w:p>
    <w:p w:rsidR="00E62283" w:rsidRPr="008477B2" w:rsidRDefault="00E62283" w:rsidP="00461457">
      <w:pPr>
        <w:spacing w:after="0" w:line="360" w:lineRule="auto"/>
        <w:rPr>
          <w:rFonts w:ascii="Times New Roman" w:hAnsi="Times New Roman" w:cs="Times New Roman"/>
          <w:sz w:val="24"/>
          <w:szCs w:val="24"/>
        </w:rPr>
      </w:pPr>
      <w:r w:rsidRPr="008477B2">
        <w:rPr>
          <w:rFonts w:ascii="Times New Roman" w:hAnsi="Times New Roman" w:cs="Times New Roman"/>
          <w:sz w:val="24"/>
          <w:szCs w:val="24"/>
        </w:rPr>
        <w:t>Soc</w:t>
      </w:r>
      <w:r w:rsidR="006E490A" w:rsidRPr="008477B2">
        <w:rPr>
          <w:rFonts w:ascii="Times New Roman" w:hAnsi="Times New Roman" w:cs="Times New Roman"/>
          <w:sz w:val="24"/>
          <w:szCs w:val="24"/>
        </w:rPr>
        <w:t>io</w:t>
      </w:r>
      <w:r w:rsidRPr="008477B2">
        <w:rPr>
          <w:rFonts w:ascii="Times New Roman" w:hAnsi="Times New Roman" w:cs="Times New Roman"/>
          <w:sz w:val="24"/>
          <w:szCs w:val="24"/>
        </w:rPr>
        <w:t>demographic</w:t>
      </w:r>
      <w:r w:rsidR="006E490A" w:rsidRPr="008477B2">
        <w:rPr>
          <w:rFonts w:ascii="Times New Roman" w:hAnsi="Times New Roman" w:cs="Times New Roman"/>
          <w:sz w:val="24"/>
          <w:szCs w:val="24"/>
        </w:rPr>
        <w:t>/socioeconomic</w:t>
      </w:r>
      <w:r w:rsidRPr="008477B2">
        <w:rPr>
          <w:rFonts w:ascii="Times New Roman" w:hAnsi="Times New Roman" w:cs="Times New Roman"/>
          <w:sz w:val="24"/>
          <w:szCs w:val="24"/>
        </w:rPr>
        <w:t xml:space="preserve"> variables</w:t>
      </w:r>
    </w:p>
    <w:p w:rsidR="00E62283" w:rsidRDefault="00724CA7"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For the purpose</w:t>
      </w:r>
      <w:r w:rsidR="00D21CB4">
        <w:rPr>
          <w:rFonts w:ascii="Times New Roman" w:hAnsi="Times New Roman" w:cs="Times New Roman"/>
          <w:sz w:val="24"/>
          <w:szCs w:val="24"/>
        </w:rPr>
        <w:t>s</w:t>
      </w:r>
      <w:r>
        <w:rPr>
          <w:rFonts w:ascii="Times New Roman" w:hAnsi="Times New Roman" w:cs="Times New Roman"/>
          <w:sz w:val="24"/>
          <w:szCs w:val="24"/>
        </w:rPr>
        <w:t xml:space="preserve"> of </w:t>
      </w:r>
      <w:r w:rsidR="00D21CB4">
        <w:rPr>
          <w:rFonts w:ascii="Times New Roman" w:hAnsi="Times New Roman" w:cs="Times New Roman"/>
          <w:sz w:val="24"/>
          <w:szCs w:val="24"/>
        </w:rPr>
        <w:t>describing the age distribution of the sample, and estimating the p</w:t>
      </w:r>
      <w:r w:rsidR="0041120A">
        <w:rPr>
          <w:rFonts w:ascii="Times New Roman" w:hAnsi="Times New Roman" w:cs="Times New Roman"/>
          <w:sz w:val="24"/>
          <w:szCs w:val="24"/>
        </w:rPr>
        <w:t xml:space="preserve">revalence of </w:t>
      </w:r>
      <w:r>
        <w:rPr>
          <w:rFonts w:ascii="Times New Roman" w:hAnsi="Times New Roman" w:cs="Times New Roman"/>
          <w:sz w:val="24"/>
          <w:szCs w:val="24"/>
        </w:rPr>
        <w:t xml:space="preserve">disability stratified by age, 10-year age bands were used (50-59; 60-69; 70-79; 80+).  </w:t>
      </w:r>
      <w:r w:rsidR="00E62283">
        <w:rPr>
          <w:rFonts w:ascii="Times New Roman" w:hAnsi="Times New Roman" w:cs="Times New Roman"/>
          <w:sz w:val="24"/>
          <w:szCs w:val="24"/>
        </w:rPr>
        <w:t>Fo</w:t>
      </w:r>
      <w:r w:rsidR="00DD308C">
        <w:rPr>
          <w:rFonts w:ascii="Times New Roman" w:hAnsi="Times New Roman" w:cs="Times New Roman"/>
          <w:sz w:val="24"/>
          <w:szCs w:val="24"/>
        </w:rPr>
        <w:t xml:space="preserve">r the purposes of estimating </w:t>
      </w:r>
      <w:r w:rsidR="005A0B6C">
        <w:rPr>
          <w:rFonts w:ascii="Times New Roman" w:hAnsi="Times New Roman" w:cs="Times New Roman"/>
          <w:sz w:val="24"/>
          <w:szCs w:val="24"/>
        </w:rPr>
        <w:t>relative risks (</w:t>
      </w:r>
      <w:r w:rsidR="00DD308C">
        <w:rPr>
          <w:rFonts w:ascii="Times New Roman" w:hAnsi="Times New Roman" w:cs="Times New Roman"/>
          <w:sz w:val="24"/>
          <w:szCs w:val="24"/>
        </w:rPr>
        <w:t>RRs</w:t>
      </w:r>
      <w:r w:rsidR="005A0B6C">
        <w:rPr>
          <w:rFonts w:ascii="Times New Roman" w:hAnsi="Times New Roman" w:cs="Times New Roman"/>
          <w:sz w:val="24"/>
          <w:szCs w:val="24"/>
        </w:rPr>
        <w:t>)</w:t>
      </w:r>
      <w:r>
        <w:rPr>
          <w:rFonts w:ascii="Times New Roman" w:hAnsi="Times New Roman" w:cs="Times New Roman"/>
          <w:sz w:val="24"/>
          <w:szCs w:val="24"/>
        </w:rPr>
        <w:t xml:space="preserve"> and population attributable fractions (PAFs)</w:t>
      </w:r>
      <w:r w:rsidR="00E62283">
        <w:rPr>
          <w:rFonts w:ascii="Times New Roman" w:hAnsi="Times New Roman" w:cs="Times New Roman"/>
          <w:sz w:val="24"/>
          <w:szCs w:val="24"/>
        </w:rPr>
        <w:t>, age was categorised as a dichotomous variable (50-64 and 65+).  This was to maximise sample size/cell counts, and thus preserve pow</w:t>
      </w:r>
      <w:r w:rsidR="002D1C7F">
        <w:rPr>
          <w:rFonts w:ascii="Times New Roman" w:hAnsi="Times New Roman" w:cs="Times New Roman"/>
          <w:sz w:val="24"/>
          <w:szCs w:val="24"/>
        </w:rPr>
        <w:t xml:space="preserve">er for </w:t>
      </w:r>
      <w:r w:rsidR="00F12C88">
        <w:rPr>
          <w:rFonts w:ascii="Times New Roman" w:hAnsi="Times New Roman" w:cs="Times New Roman"/>
          <w:sz w:val="24"/>
          <w:szCs w:val="24"/>
        </w:rPr>
        <w:t>RR</w:t>
      </w:r>
      <w:r>
        <w:rPr>
          <w:rFonts w:ascii="Times New Roman" w:hAnsi="Times New Roman" w:cs="Times New Roman"/>
          <w:sz w:val="24"/>
          <w:szCs w:val="24"/>
        </w:rPr>
        <w:t xml:space="preserve"> </w:t>
      </w:r>
      <w:r w:rsidR="009E5B7F">
        <w:rPr>
          <w:rFonts w:ascii="Times New Roman" w:hAnsi="Times New Roman" w:cs="Times New Roman"/>
          <w:sz w:val="24"/>
          <w:szCs w:val="24"/>
        </w:rPr>
        <w:t>estimation</w:t>
      </w:r>
      <w:r>
        <w:rPr>
          <w:rFonts w:ascii="Times New Roman" w:hAnsi="Times New Roman" w:cs="Times New Roman"/>
          <w:sz w:val="24"/>
          <w:szCs w:val="24"/>
        </w:rPr>
        <w:t>.</w:t>
      </w:r>
    </w:p>
    <w:p w:rsidR="00E62283" w:rsidRDefault="00E62283" w:rsidP="00461457">
      <w:pPr>
        <w:spacing w:after="0" w:line="360" w:lineRule="auto"/>
        <w:rPr>
          <w:rFonts w:ascii="Times New Roman" w:hAnsi="Times New Roman" w:cs="Times New Roman"/>
          <w:sz w:val="24"/>
          <w:szCs w:val="24"/>
        </w:rPr>
      </w:pPr>
    </w:p>
    <w:p w:rsidR="00F12C88" w:rsidRPr="00F12C88" w:rsidRDefault="00E62283" w:rsidP="00461457">
      <w:pPr>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The present study used occupational group as an indicator of socioeconomic position (SEP).  </w:t>
      </w:r>
      <w:r w:rsidR="00724CA7">
        <w:rPr>
          <w:rFonts w:ascii="Times New Roman" w:hAnsi="Times New Roman" w:cs="Times New Roman"/>
          <w:sz w:val="24"/>
          <w:szCs w:val="24"/>
        </w:rPr>
        <w:t>The NIHS used the National Statistics Socio-Economic Classification (NS-SEC)</w:t>
      </w:r>
      <w:r w:rsidR="00F12C88">
        <w:rPr>
          <w:rFonts w:ascii="Times New Roman" w:hAnsi="Times New Roman" w:cs="Times New Roman"/>
          <w:sz w:val="24"/>
          <w:szCs w:val="24"/>
        </w:rPr>
        <w:t xml:space="preserve"> that is traditionally used by the UK’s Office for National Statistics (ONS)</w:t>
      </w:r>
      <w:r w:rsidR="00724CA7">
        <w:rPr>
          <w:rFonts w:ascii="Times New Roman" w:hAnsi="Times New Roman" w:cs="Times New Roman"/>
          <w:sz w:val="24"/>
          <w:szCs w:val="24"/>
        </w:rPr>
        <w:t xml:space="preserve">; </w:t>
      </w:r>
      <w:r w:rsidR="00724CA7" w:rsidRPr="008F68CB">
        <w:rPr>
          <w:rFonts w:ascii="Times New Roman" w:hAnsi="Times New Roman" w:cs="Times New Roman"/>
          <w:sz w:val="24"/>
          <w:szCs w:val="24"/>
        </w:rPr>
        <w:t xml:space="preserve">the occupational coding used in TILDA is </w:t>
      </w:r>
      <w:r w:rsidR="006A7F85">
        <w:rPr>
          <w:rFonts w:ascii="Times New Roman" w:hAnsi="Times New Roman" w:cs="Times New Roman"/>
          <w:sz w:val="24"/>
          <w:szCs w:val="24"/>
        </w:rPr>
        <w:t>similar</w:t>
      </w:r>
      <w:r w:rsidR="006A7F85" w:rsidRPr="008F68CB">
        <w:rPr>
          <w:rFonts w:ascii="Times New Roman" w:hAnsi="Times New Roman" w:cs="Times New Roman"/>
          <w:sz w:val="24"/>
          <w:szCs w:val="24"/>
        </w:rPr>
        <w:t xml:space="preserve"> </w:t>
      </w:r>
      <w:r w:rsidR="00724CA7" w:rsidRPr="008F68CB">
        <w:rPr>
          <w:rFonts w:ascii="Times New Roman" w:hAnsi="Times New Roman" w:cs="Times New Roman"/>
          <w:sz w:val="24"/>
          <w:szCs w:val="24"/>
        </w:rPr>
        <w:t xml:space="preserve">to that used by </w:t>
      </w:r>
      <w:r w:rsidR="00F12C88">
        <w:rPr>
          <w:rFonts w:ascii="Times New Roman" w:hAnsi="Times New Roman" w:cs="Times New Roman"/>
          <w:sz w:val="24"/>
          <w:szCs w:val="24"/>
        </w:rPr>
        <w:t xml:space="preserve">Ireland’s </w:t>
      </w:r>
      <w:r w:rsidR="004A2BD7">
        <w:rPr>
          <w:rFonts w:ascii="Times New Roman" w:hAnsi="Times New Roman" w:cs="Times New Roman"/>
          <w:sz w:val="24"/>
          <w:szCs w:val="24"/>
        </w:rPr>
        <w:t>Central Statistics Office (</w:t>
      </w:r>
      <w:r w:rsidR="00724CA7" w:rsidRPr="008F68CB">
        <w:rPr>
          <w:rFonts w:ascii="Times New Roman" w:hAnsi="Times New Roman" w:cs="Times New Roman"/>
          <w:sz w:val="24"/>
          <w:szCs w:val="24"/>
        </w:rPr>
        <w:t>CSO</w:t>
      </w:r>
      <w:r w:rsidR="004A2BD7">
        <w:rPr>
          <w:rFonts w:ascii="Times New Roman" w:hAnsi="Times New Roman" w:cs="Times New Roman"/>
          <w:sz w:val="24"/>
          <w:szCs w:val="24"/>
        </w:rPr>
        <w:t>)</w:t>
      </w:r>
      <w:r w:rsidR="00724CA7" w:rsidRPr="008F68CB">
        <w:rPr>
          <w:rFonts w:ascii="Times New Roman" w:hAnsi="Times New Roman" w:cs="Times New Roman"/>
          <w:sz w:val="24"/>
          <w:szCs w:val="24"/>
        </w:rPr>
        <w:t xml:space="preserve"> </w:t>
      </w:r>
      <w:r w:rsidR="00724CA7" w:rsidRPr="00B76078">
        <w:rPr>
          <w:rFonts w:ascii="Times New Roman" w:hAnsi="Times New Roman" w:cs="Times New Roman"/>
          <w:sz w:val="24"/>
          <w:szCs w:val="24"/>
        </w:rPr>
        <w:t>for the census.</w:t>
      </w:r>
      <w:r w:rsidR="00724CA7">
        <w:rPr>
          <w:rFonts w:ascii="Times New Roman" w:hAnsi="Times New Roman" w:cs="Times New Roman"/>
          <w:sz w:val="24"/>
          <w:szCs w:val="24"/>
        </w:rPr>
        <w:t xml:space="preserve">  </w:t>
      </w:r>
      <w:r w:rsidR="001B56E8" w:rsidRPr="001B56E8">
        <w:rPr>
          <w:rFonts w:ascii="Times New Roman" w:hAnsi="Times New Roman" w:cs="Times New Roman"/>
          <w:sz w:val="24"/>
          <w:szCs w:val="24"/>
          <w:lang w:val="en-GB"/>
        </w:rPr>
        <w:t xml:space="preserve">When deriving a SEP variable for our analyses, we had to ensure that the indicators of SEP between the two countries were comparable.  The three SEP groups (professional/managerial [high]; lower non-manual [medium]; manual [low]) were broadly similar; however, in the NIHS there was a group of individuals coded </w:t>
      </w:r>
      <w:r w:rsidR="00F12C88">
        <w:rPr>
          <w:rFonts w:ascii="Times New Roman" w:hAnsi="Times New Roman" w:cs="Times New Roman"/>
          <w:sz w:val="24"/>
          <w:szCs w:val="24"/>
          <w:lang w:val="en-GB"/>
        </w:rPr>
        <w:t>as ‘no socioeconomic group (SEG)</w:t>
      </w:r>
      <w:r w:rsidR="001B56E8" w:rsidRPr="001B56E8">
        <w:rPr>
          <w:rFonts w:ascii="Times New Roman" w:hAnsi="Times New Roman" w:cs="Times New Roman"/>
          <w:sz w:val="24"/>
          <w:szCs w:val="24"/>
          <w:lang w:val="en-GB"/>
        </w:rPr>
        <w:t xml:space="preserve">, armed forces, etc.’ who were difficult to place.  In TILDA there was a separate group for ‘farmers’ that was equally difficult to place.  </w:t>
      </w:r>
      <w:r w:rsidR="00F12C88" w:rsidRPr="00F12C88">
        <w:rPr>
          <w:rFonts w:ascii="Times New Roman" w:hAnsi="Times New Roman" w:cs="Times New Roman"/>
          <w:sz w:val="24"/>
          <w:szCs w:val="24"/>
          <w:lang w:val="en-GB"/>
        </w:rPr>
        <w:t xml:space="preserve">Excluding these two groups altogether or keeping them as separate SEP groups was not an option because of the effect this would have on sample/cell sizes (especially in the NIHS).  Therefore, we made the decision to compare the distributions of these respective groups against the distributions of the manual SEP group using alternative indicators of SES (e.g., educational level, housing tenure, household income).  For both the ‘farmers’ group in TILDA and the ‘no SEG’ group in </w:t>
      </w:r>
      <w:r w:rsidR="00F12C88">
        <w:rPr>
          <w:rFonts w:ascii="Times New Roman" w:hAnsi="Times New Roman" w:cs="Times New Roman"/>
          <w:sz w:val="24"/>
          <w:szCs w:val="24"/>
          <w:lang w:val="en-GB"/>
        </w:rPr>
        <w:t xml:space="preserve">the </w:t>
      </w:r>
      <w:r w:rsidR="00F12C88" w:rsidRPr="00F12C88">
        <w:rPr>
          <w:rFonts w:ascii="Times New Roman" w:hAnsi="Times New Roman" w:cs="Times New Roman"/>
          <w:sz w:val="24"/>
          <w:szCs w:val="24"/>
          <w:lang w:val="en-GB"/>
        </w:rPr>
        <w:t>NIHS the distributions using alternative measures of SES were broadly similar to the distributions of the respective TILDA and NIHS manual SEP groups.  Therefore, the decision was taken to include each of these two categories with the respective country-specific manual groups.</w:t>
      </w:r>
    </w:p>
    <w:p w:rsidR="00F12C88" w:rsidRDefault="00F12C88" w:rsidP="00461457">
      <w:pPr>
        <w:spacing w:after="0" w:line="360" w:lineRule="auto"/>
        <w:rPr>
          <w:rFonts w:ascii="Times New Roman" w:hAnsi="Times New Roman" w:cs="Times New Roman"/>
          <w:sz w:val="24"/>
          <w:szCs w:val="24"/>
          <w:lang w:val="en-GB"/>
        </w:rPr>
      </w:pPr>
    </w:p>
    <w:p w:rsidR="001B56E8" w:rsidRPr="001B56E8" w:rsidRDefault="001B56E8" w:rsidP="0046145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Additionally, </w:t>
      </w:r>
      <w:r w:rsidRPr="001B56E8">
        <w:rPr>
          <w:rFonts w:ascii="Times New Roman" w:hAnsi="Times New Roman" w:cs="Times New Roman"/>
          <w:sz w:val="24"/>
          <w:szCs w:val="24"/>
          <w:lang w:val="en-GB"/>
        </w:rPr>
        <w:t>TIL</w:t>
      </w:r>
      <w:r w:rsidR="001E6EB4">
        <w:rPr>
          <w:rFonts w:ascii="Times New Roman" w:hAnsi="Times New Roman" w:cs="Times New Roman"/>
          <w:sz w:val="24"/>
          <w:szCs w:val="24"/>
          <w:lang w:val="en-GB"/>
        </w:rPr>
        <w:t xml:space="preserve">DA </w:t>
      </w:r>
      <w:r>
        <w:rPr>
          <w:rFonts w:ascii="Times New Roman" w:hAnsi="Times New Roman" w:cs="Times New Roman"/>
          <w:sz w:val="24"/>
          <w:szCs w:val="24"/>
          <w:lang w:val="en-GB"/>
        </w:rPr>
        <w:t xml:space="preserve">included </w:t>
      </w:r>
      <w:r w:rsidRPr="001B56E8">
        <w:rPr>
          <w:rFonts w:ascii="Times New Roman" w:hAnsi="Times New Roman" w:cs="Times New Roman"/>
          <w:sz w:val="24"/>
          <w:szCs w:val="24"/>
          <w:lang w:val="en-GB"/>
        </w:rPr>
        <w:t>a sizeable ‘not</w:t>
      </w:r>
      <w:r w:rsidR="00377A3B">
        <w:rPr>
          <w:rFonts w:ascii="Times New Roman" w:hAnsi="Times New Roman" w:cs="Times New Roman"/>
          <w:sz w:val="24"/>
          <w:szCs w:val="24"/>
          <w:lang w:val="en-GB"/>
        </w:rPr>
        <w:t xml:space="preserve"> applicable’ category (n=2</w:t>
      </w:r>
      <w:r w:rsidR="00F12C88">
        <w:rPr>
          <w:rFonts w:ascii="Times New Roman" w:hAnsi="Times New Roman" w:cs="Times New Roman"/>
          <w:sz w:val="24"/>
          <w:szCs w:val="24"/>
          <w:lang w:val="en-GB"/>
        </w:rPr>
        <w:t>,</w:t>
      </w:r>
      <w:r w:rsidR="00377A3B">
        <w:rPr>
          <w:rFonts w:ascii="Times New Roman" w:hAnsi="Times New Roman" w:cs="Times New Roman"/>
          <w:sz w:val="24"/>
          <w:szCs w:val="24"/>
          <w:lang w:val="en-GB"/>
        </w:rPr>
        <w:t xml:space="preserve">323).  As </w:t>
      </w:r>
      <w:r w:rsidRPr="001B56E8">
        <w:rPr>
          <w:rFonts w:ascii="Times New Roman" w:hAnsi="Times New Roman" w:cs="Times New Roman"/>
          <w:sz w:val="24"/>
          <w:szCs w:val="24"/>
          <w:lang w:val="en-GB"/>
        </w:rPr>
        <w:t>78% of</w:t>
      </w:r>
      <w:r w:rsidR="00377A3B">
        <w:rPr>
          <w:rFonts w:ascii="Times New Roman" w:hAnsi="Times New Roman" w:cs="Times New Roman"/>
          <w:sz w:val="24"/>
          <w:szCs w:val="24"/>
          <w:lang w:val="en-GB"/>
        </w:rPr>
        <w:t xml:space="preserve"> this group </w:t>
      </w:r>
      <w:r w:rsidR="001E6EB4">
        <w:rPr>
          <w:rFonts w:ascii="Times New Roman" w:hAnsi="Times New Roman" w:cs="Times New Roman"/>
          <w:sz w:val="24"/>
          <w:szCs w:val="24"/>
          <w:lang w:val="en-GB"/>
        </w:rPr>
        <w:t>w</w:t>
      </w:r>
      <w:r w:rsidR="00377A3B">
        <w:rPr>
          <w:rFonts w:ascii="Times New Roman" w:hAnsi="Times New Roman" w:cs="Times New Roman"/>
          <w:sz w:val="24"/>
          <w:szCs w:val="24"/>
          <w:lang w:val="en-GB"/>
        </w:rPr>
        <w:t>ere women, w</w:t>
      </w:r>
      <w:r w:rsidR="001E6EB4">
        <w:rPr>
          <w:rFonts w:ascii="Times New Roman" w:hAnsi="Times New Roman" w:cs="Times New Roman"/>
          <w:sz w:val="24"/>
          <w:szCs w:val="24"/>
          <w:lang w:val="en-GB"/>
        </w:rPr>
        <w:t xml:space="preserve">e thought it possible </w:t>
      </w:r>
      <w:r w:rsidR="00377A3B">
        <w:rPr>
          <w:rFonts w:ascii="Times New Roman" w:hAnsi="Times New Roman" w:cs="Times New Roman"/>
          <w:sz w:val="24"/>
          <w:szCs w:val="24"/>
          <w:lang w:val="en-GB"/>
        </w:rPr>
        <w:t xml:space="preserve">that they </w:t>
      </w:r>
      <w:r w:rsidRPr="001B56E8">
        <w:rPr>
          <w:rFonts w:ascii="Times New Roman" w:hAnsi="Times New Roman" w:cs="Times New Roman"/>
          <w:sz w:val="24"/>
          <w:szCs w:val="24"/>
          <w:lang w:val="en-GB"/>
        </w:rPr>
        <w:t>had never wor</w:t>
      </w:r>
      <w:r w:rsidR="00377A3B">
        <w:rPr>
          <w:rFonts w:ascii="Times New Roman" w:hAnsi="Times New Roman" w:cs="Times New Roman"/>
          <w:sz w:val="24"/>
          <w:szCs w:val="24"/>
          <w:lang w:val="en-GB"/>
        </w:rPr>
        <w:t xml:space="preserve">ked outside of the home and </w:t>
      </w:r>
      <w:r w:rsidRPr="001B56E8">
        <w:rPr>
          <w:rFonts w:ascii="Times New Roman" w:hAnsi="Times New Roman" w:cs="Times New Roman"/>
          <w:sz w:val="24"/>
          <w:szCs w:val="24"/>
          <w:lang w:val="en-GB"/>
        </w:rPr>
        <w:t>therefore could not be allocated to a specific o</w:t>
      </w:r>
      <w:r w:rsidR="00F12C88">
        <w:rPr>
          <w:rFonts w:ascii="Times New Roman" w:hAnsi="Times New Roman" w:cs="Times New Roman"/>
          <w:sz w:val="24"/>
          <w:szCs w:val="24"/>
          <w:lang w:val="en-GB"/>
        </w:rPr>
        <w:t xml:space="preserve">ccupational group.  </w:t>
      </w:r>
      <w:r w:rsidRPr="001B56E8">
        <w:rPr>
          <w:rFonts w:ascii="Times New Roman" w:hAnsi="Times New Roman" w:cs="Times New Roman"/>
          <w:sz w:val="24"/>
          <w:szCs w:val="24"/>
          <w:lang w:val="en-GB"/>
        </w:rPr>
        <w:t>The decision was taken to treat this ‘not applicable’ group as a separate and independent group with no counterpart in the NIHS rather than try to absorb them within one of the three SEP categories.  There was also a ‘missing/refused’ group in TILDA with quite large numbers (n=796) which was difficult to integrate into the 3-category SEP variable</w:t>
      </w:r>
      <w:r w:rsidR="00F12C88">
        <w:rPr>
          <w:rFonts w:ascii="Times New Roman" w:hAnsi="Times New Roman" w:cs="Times New Roman"/>
          <w:sz w:val="24"/>
          <w:szCs w:val="24"/>
          <w:lang w:val="en-GB"/>
        </w:rPr>
        <w:t xml:space="preserve"> and which was kept as a separate SEP group</w:t>
      </w:r>
      <w:r w:rsidRPr="001B56E8">
        <w:rPr>
          <w:rFonts w:ascii="Times New Roman" w:hAnsi="Times New Roman" w:cs="Times New Roman"/>
          <w:sz w:val="24"/>
          <w:szCs w:val="24"/>
          <w:lang w:val="en-GB"/>
        </w:rPr>
        <w:t>.  Therefore, within both health surveys we had a 3-category SEP indicator (high, medium, low) that was broadly similar and that allowed us to make meaningful comparisons and ultimately pool data, but within TILDA there were two additional group</w:t>
      </w:r>
      <w:r w:rsidR="00377A3B">
        <w:rPr>
          <w:rFonts w:ascii="Times New Roman" w:hAnsi="Times New Roman" w:cs="Times New Roman"/>
          <w:sz w:val="24"/>
          <w:szCs w:val="24"/>
          <w:lang w:val="en-GB"/>
        </w:rPr>
        <w:t xml:space="preserve">s (‘not applicable’; </w:t>
      </w:r>
      <w:r w:rsidRPr="001B56E8">
        <w:rPr>
          <w:rFonts w:ascii="Times New Roman" w:hAnsi="Times New Roman" w:cs="Times New Roman"/>
          <w:sz w:val="24"/>
          <w:szCs w:val="24"/>
          <w:lang w:val="en-GB"/>
        </w:rPr>
        <w:t>‘missing/refused’) that were retained in order to maximise sample size.</w:t>
      </w:r>
    </w:p>
    <w:p w:rsidR="00E62283" w:rsidRDefault="00E62283" w:rsidP="00461457">
      <w:pPr>
        <w:spacing w:after="0" w:line="360" w:lineRule="auto"/>
        <w:rPr>
          <w:rFonts w:ascii="Times New Roman" w:hAnsi="Times New Roman" w:cs="Times New Roman"/>
          <w:sz w:val="24"/>
          <w:szCs w:val="24"/>
        </w:rPr>
      </w:pPr>
    </w:p>
    <w:p w:rsidR="00B979AB" w:rsidRPr="00961DF1" w:rsidRDefault="00B979AB" w:rsidP="00461457">
      <w:pPr>
        <w:spacing w:after="0" w:line="360" w:lineRule="auto"/>
        <w:rPr>
          <w:rFonts w:ascii="Times New Roman" w:hAnsi="Times New Roman" w:cs="Times New Roman"/>
          <w:i/>
          <w:color w:val="000000"/>
          <w:sz w:val="24"/>
          <w:szCs w:val="24"/>
        </w:rPr>
      </w:pPr>
      <w:r w:rsidRPr="00961DF1">
        <w:rPr>
          <w:rFonts w:ascii="Times New Roman" w:hAnsi="Times New Roman" w:cs="Times New Roman"/>
          <w:i/>
          <w:color w:val="000000"/>
          <w:sz w:val="24"/>
          <w:szCs w:val="24"/>
        </w:rPr>
        <w:t>Ethics</w:t>
      </w:r>
    </w:p>
    <w:p w:rsidR="00B979AB" w:rsidRDefault="00B979AB"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This study</w:t>
      </w:r>
      <w:r w:rsidRPr="00694597">
        <w:rPr>
          <w:rFonts w:ascii="Times New Roman" w:hAnsi="Times New Roman" w:cs="Times New Roman"/>
          <w:sz w:val="24"/>
          <w:szCs w:val="24"/>
          <w:lang w:val="en-GB"/>
        </w:rPr>
        <w:t xml:space="preserve"> was approved by the School Research Ethics Committee in the School of Medicine, Dentistry and Biomedical Sciences, Queen’s University Belfast</w:t>
      </w:r>
      <w:r w:rsidR="00BC513F">
        <w:rPr>
          <w:rFonts w:ascii="Times New Roman" w:hAnsi="Times New Roman" w:cs="Times New Roman"/>
          <w:sz w:val="24"/>
          <w:szCs w:val="24"/>
          <w:lang w:val="en-GB"/>
        </w:rPr>
        <w:t xml:space="preserve"> (Reference Number </w:t>
      </w:r>
      <w:r w:rsidR="00BC513F" w:rsidRPr="00BC513F">
        <w:rPr>
          <w:rFonts w:ascii="Times New Roman" w:hAnsi="Times New Roman" w:cs="Times New Roman"/>
          <w:sz w:val="24"/>
          <w:szCs w:val="24"/>
          <w:lang w:val="en-GB"/>
        </w:rPr>
        <w:t>14/03</w:t>
      </w:r>
      <w:r w:rsidR="00BC513F">
        <w:rPr>
          <w:rFonts w:ascii="Times New Roman" w:hAnsi="Times New Roman" w:cs="Times New Roman"/>
          <w:sz w:val="24"/>
          <w:szCs w:val="24"/>
          <w:lang w:val="en-GB"/>
        </w:rPr>
        <w:t>)</w:t>
      </w:r>
      <w:r w:rsidRPr="00694597">
        <w:rPr>
          <w:rFonts w:ascii="Times New Roman" w:hAnsi="Times New Roman" w:cs="Times New Roman"/>
          <w:sz w:val="24"/>
          <w:szCs w:val="24"/>
          <w:lang w:val="en-GB"/>
        </w:rPr>
        <w:t>.  This study involved secondary data analysis, therefore there was no direct contact between the study team and respo</w:t>
      </w:r>
      <w:r>
        <w:rPr>
          <w:rFonts w:ascii="Times New Roman" w:hAnsi="Times New Roman" w:cs="Times New Roman"/>
          <w:sz w:val="24"/>
          <w:szCs w:val="24"/>
          <w:lang w:val="en-GB"/>
        </w:rPr>
        <w:t xml:space="preserve">ndents in </w:t>
      </w:r>
      <w:proofErr w:type="gramStart"/>
      <w:r>
        <w:rPr>
          <w:rFonts w:ascii="Times New Roman" w:hAnsi="Times New Roman" w:cs="Times New Roman"/>
          <w:sz w:val="24"/>
          <w:szCs w:val="24"/>
          <w:lang w:val="en-GB"/>
        </w:rPr>
        <w:t>either health survey</w:t>
      </w:r>
      <w:r w:rsidR="00ED21E9">
        <w:rPr>
          <w:rFonts w:ascii="Times New Roman" w:hAnsi="Times New Roman" w:cs="Times New Roman"/>
          <w:sz w:val="24"/>
          <w:szCs w:val="24"/>
          <w:lang w:val="en-GB"/>
        </w:rPr>
        <w:t>, and</w:t>
      </w:r>
      <w:proofErr w:type="gramEnd"/>
      <w:r w:rsidR="00ED21E9">
        <w:rPr>
          <w:rFonts w:ascii="Times New Roman" w:hAnsi="Times New Roman" w:cs="Times New Roman"/>
          <w:sz w:val="24"/>
          <w:szCs w:val="24"/>
          <w:lang w:val="en-GB"/>
        </w:rPr>
        <w:t xml:space="preserve"> </w:t>
      </w:r>
      <w:r w:rsidRPr="00694597">
        <w:rPr>
          <w:rFonts w:ascii="Times New Roman" w:hAnsi="Times New Roman" w:cs="Times New Roman"/>
          <w:sz w:val="24"/>
          <w:szCs w:val="24"/>
          <w:lang w:val="en-GB"/>
        </w:rPr>
        <w:t xml:space="preserve">all data had been anonymised at source.  </w:t>
      </w:r>
      <w:r>
        <w:rPr>
          <w:rFonts w:ascii="Times New Roman" w:hAnsi="Times New Roman" w:cs="Times New Roman"/>
          <w:sz w:val="24"/>
          <w:szCs w:val="24"/>
        </w:rPr>
        <w:t xml:space="preserve">All aspects of the project were carried out in accordance with </w:t>
      </w:r>
      <w:r w:rsidRPr="00BF4E23">
        <w:rPr>
          <w:rFonts w:ascii="Times New Roman" w:hAnsi="Times New Roman" w:cs="Times New Roman"/>
          <w:sz w:val="24"/>
          <w:szCs w:val="24"/>
        </w:rPr>
        <w:t xml:space="preserve">the </w:t>
      </w:r>
      <w:r w:rsidRPr="00BF4E23">
        <w:rPr>
          <w:rFonts w:ascii="Times New Roman" w:hAnsi="Times New Roman" w:cs="Times New Roman"/>
          <w:iCs/>
          <w:sz w:val="24"/>
          <w:szCs w:val="24"/>
        </w:rPr>
        <w:t>Code of Ethics of the World Medical Association (Declarat</w:t>
      </w:r>
      <w:r>
        <w:rPr>
          <w:rFonts w:ascii="Times New Roman" w:hAnsi="Times New Roman" w:cs="Times New Roman"/>
          <w:iCs/>
          <w:sz w:val="24"/>
          <w:szCs w:val="24"/>
        </w:rPr>
        <w:t>ion of Helsinki) for research</w:t>
      </w:r>
      <w:r w:rsidRPr="00BF4E23">
        <w:rPr>
          <w:rFonts w:ascii="Times New Roman" w:hAnsi="Times New Roman" w:cs="Times New Roman"/>
          <w:iCs/>
          <w:sz w:val="24"/>
          <w:szCs w:val="24"/>
        </w:rPr>
        <w:t xml:space="preserve"> involving humans</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with </w:t>
      </w:r>
      <w:r w:rsidR="002514CE">
        <w:rPr>
          <w:rFonts w:ascii="Times New Roman" w:hAnsi="Times New Roman" w:cs="Times New Roman"/>
          <w:sz w:val="24"/>
          <w:szCs w:val="24"/>
        </w:rPr>
        <w:t xml:space="preserve">written, informed </w:t>
      </w:r>
      <w:r>
        <w:rPr>
          <w:rFonts w:ascii="Times New Roman" w:hAnsi="Times New Roman" w:cs="Times New Roman"/>
          <w:sz w:val="24"/>
          <w:szCs w:val="24"/>
        </w:rPr>
        <w:t xml:space="preserve">participant </w:t>
      </w:r>
      <w:r w:rsidRPr="00BF4E23">
        <w:rPr>
          <w:rFonts w:ascii="Times New Roman" w:hAnsi="Times New Roman" w:cs="Times New Roman"/>
          <w:sz w:val="24"/>
          <w:szCs w:val="24"/>
        </w:rPr>
        <w:t xml:space="preserve">consent </w:t>
      </w:r>
      <w:r>
        <w:rPr>
          <w:rFonts w:ascii="Times New Roman" w:hAnsi="Times New Roman" w:cs="Times New Roman"/>
          <w:sz w:val="24"/>
          <w:szCs w:val="24"/>
        </w:rPr>
        <w:t>being obtained by the respective owners of the data prior to each survey taking place</w:t>
      </w:r>
      <w:r w:rsidRPr="00BF4E23">
        <w:rPr>
          <w:rFonts w:ascii="Times New Roman" w:hAnsi="Times New Roman" w:cs="Times New Roman"/>
          <w:sz w:val="24"/>
          <w:szCs w:val="24"/>
        </w:rPr>
        <w:t>.</w:t>
      </w:r>
    </w:p>
    <w:p w:rsidR="00B979AB" w:rsidRPr="005F4DCE" w:rsidRDefault="00B979AB" w:rsidP="00461457">
      <w:pPr>
        <w:spacing w:after="0" w:line="360" w:lineRule="auto"/>
        <w:rPr>
          <w:rFonts w:ascii="Times New Roman" w:hAnsi="Times New Roman" w:cs="Times New Roman"/>
          <w:sz w:val="24"/>
          <w:szCs w:val="24"/>
        </w:rPr>
      </w:pPr>
    </w:p>
    <w:bookmarkEnd w:id="1"/>
    <w:p w:rsidR="00E62283" w:rsidRPr="008477B2" w:rsidRDefault="006A7F85" w:rsidP="00461457">
      <w:pPr>
        <w:spacing w:after="0" w:line="360" w:lineRule="auto"/>
        <w:rPr>
          <w:rFonts w:ascii="Times New Roman" w:hAnsi="Times New Roman" w:cs="Times New Roman"/>
          <w:i/>
          <w:sz w:val="24"/>
          <w:szCs w:val="24"/>
        </w:rPr>
      </w:pPr>
      <w:r w:rsidRPr="008477B2">
        <w:rPr>
          <w:rFonts w:ascii="Times New Roman" w:hAnsi="Times New Roman" w:cs="Times New Roman"/>
          <w:i/>
          <w:sz w:val="24"/>
          <w:szCs w:val="24"/>
        </w:rPr>
        <w:t>Statistical analysis</w:t>
      </w:r>
    </w:p>
    <w:p w:rsidR="00586190" w:rsidRDefault="00E81F39"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Basic prevalence comparisons across the two data</w:t>
      </w:r>
      <w:r w:rsidR="0004557E">
        <w:rPr>
          <w:rFonts w:ascii="Times New Roman" w:hAnsi="Times New Roman" w:cs="Times New Roman"/>
          <w:sz w:val="24"/>
          <w:szCs w:val="24"/>
        </w:rPr>
        <w:t>sets were</w:t>
      </w:r>
      <w:r>
        <w:rPr>
          <w:rFonts w:ascii="Times New Roman" w:hAnsi="Times New Roman" w:cs="Times New Roman"/>
          <w:sz w:val="24"/>
          <w:szCs w:val="24"/>
        </w:rPr>
        <w:t xml:space="preserve"> based on Chi</w:t>
      </w:r>
      <w:r w:rsidR="00461758">
        <w:rPr>
          <w:rFonts w:ascii="Times New Roman" w:hAnsi="Times New Roman" w:cs="Times New Roman"/>
          <w:sz w:val="24"/>
          <w:szCs w:val="24"/>
        </w:rPr>
        <w:t>-</w:t>
      </w:r>
      <w:r>
        <w:rPr>
          <w:rFonts w:ascii="Times New Roman" w:hAnsi="Times New Roman" w:cs="Times New Roman"/>
          <w:sz w:val="24"/>
          <w:szCs w:val="24"/>
        </w:rPr>
        <w:t xml:space="preserve">squared tests for contingency tables. </w:t>
      </w:r>
      <w:r w:rsidR="00461758">
        <w:rPr>
          <w:rFonts w:ascii="Times New Roman" w:hAnsi="Times New Roman" w:cs="Times New Roman"/>
          <w:sz w:val="24"/>
          <w:szCs w:val="24"/>
        </w:rPr>
        <w:t xml:space="preserve"> </w:t>
      </w:r>
      <w:r w:rsidR="00E62283">
        <w:rPr>
          <w:rFonts w:ascii="Times New Roman" w:hAnsi="Times New Roman" w:cs="Times New Roman"/>
          <w:sz w:val="24"/>
          <w:szCs w:val="24"/>
        </w:rPr>
        <w:t>Prevalence analyse</w:t>
      </w:r>
      <w:r w:rsidR="00E62283" w:rsidRPr="00EF7A6E">
        <w:rPr>
          <w:rFonts w:ascii="Times New Roman" w:hAnsi="Times New Roman" w:cs="Times New Roman"/>
          <w:sz w:val="24"/>
          <w:szCs w:val="24"/>
        </w:rPr>
        <w:t>s for risk facto</w:t>
      </w:r>
      <w:r w:rsidR="007C0FB3">
        <w:rPr>
          <w:rFonts w:ascii="Times New Roman" w:hAnsi="Times New Roman" w:cs="Times New Roman"/>
          <w:sz w:val="24"/>
          <w:szCs w:val="24"/>
        </w:rPr>
        <w:t xml:space="preserve">rs </w:t>
      </w:r>
      <w:r w:rsidR="00E62283">
        <w:rPr>
          <w:rFonts w:ascii="Times New Roman" w:hAnsi="Times New Roman" w:cs="Times New Roman"/>
          <w:sz w:val="24"/>
          <w:szCs w:val="24"/>
        </w:rPr>
        <w:t xml:space="preserve">were </w:t>
      </w:r>
      <w:r w:rsidR="00E62283" w:rsidRPr="00EF7A6E">
        <w:rPr>
          <w:rFonts w:ascii="Times New Roman" w:hAnsi="Times New Roman" w:cs="Times New Roman"/>
          <w:sz w:val="24"/>
          <w:szCs w:val="24"/>
        </w:rPr>
        <w:t>stratified by gender,</w:t>
      </w:r>
      <w:r w:rsidR="00E62283">
        <w:rPr>
          <w:rFonts w:ascii="Times New Roman" w:hAnsi="Times New Roman" w:cs="Times New Roman"/>
          <w:sz w:val="24"/>
          <w:szCs w:val="24"/>
        </w:rPr>
        <w:t xml:space="preserve"> age, and SEP</w:t>
      </w:r>
      <w:r w:rsidR="00E62283" w:rsidRPr="00EF7A6E">
        <w:rPr>
          <w:rFonts w:ascii="Times New Roman" w:hAnsi="Times New Roman" w:cs="Times New Roman"/>
          <w:sz w:val="24"/>
          <w:szCs w:val="24"/>
        </w:rPr>
        <w:t xml:space="preserve">.  Binomial regression models </w:t>
      </w:r>
      <w:r w:rsidR="00461758">
        <w:rPr>
          <w:rFonts w:ascii="Times New Roman" w:hAnsi="Times New Roman" w:cs="Times New Roman"/>
          <w:sz w:val="24"/>
          <w:szCs w:val="24"/>
        </w:rPr>
        <w:t xml:space="preserve">with a log link </w:t>
      </w:r>
      <w:r w:rsidR="00E62283">
        <w:rPr>
          <w:rFonts w:ascii="Times New Roman" w:hAnsi="Times New Roman" w:cs="Times New Roman"/>
          <w:sz w:val="24"/>
          <w:szCs w:val="24"/>
        </w:rPr>
        <w:t>were</w:t>
      </w:r>
      <w:r w:rsidR="00E62283" w:rsidRPr="00EF7A6E">
        <w:rPr>
          <w:rFonts w:ascii="Times New Roman" w:hAnsi="Times New Roman" w:cs="Times New Roman"/>
          <w:sz w:val="24"/>
          <w:szCs w:val="24"/>
        </w:rPr>
        <w:t xml:space="preserve"> </w:t>
      </w:r>
      <w:r w:rsidR="002D1C7F">
        <w:rPr>
          <w:rFonts w:ascii="Times New Roman" w:hAnsi="Times New Roman" w:cs="Times New Roman"/>
          <w:sz w:val="24"/>
          <w:szCs w:val="24"/>
        </w:rPr>
        <w:t xml:space="preserve">used to derive </w:t>
      </w:r>
      <w:r w:rsidR="005A0B6C">
        <w:rPr>
          <w:rFonts w:ascii="Times New Roman" w:hAnsi="Times New Roman" w:cs="Times New Roman"/>
          <w:sz w:val="24"/>
          <w:szCs w:val="24"/>
        </w:rPr>
        <w:t>RR</w:t>
      </w:r>
      <w:r w:rsidR="00E62283">
        <w:rPr>
          <w:rFonts w:ascii="Times New Roman" w:hAnsi="Times New Roman" w:cs="Times New Roman"/>
          <w:sz w:val="24"/>
          <w:szCs w:val="24"/>
        </w:rPr>
        <w:t>s</w:t>
      </w:r>
      <w:r w:rsidR="00E62283" w:rsidRPr="00EF7A6E">
        <w:rPr>
          <w:rFonts w:ascii="Times New Roman" w:hAnsi="Times New Roman" w:cs="Times New Roman"/>
          <w:sz w:val="24"/>
          <w:szCs w:val="24"/>
        </w:rPr>
        <w:t xml:space="preserve"> for risk factors on disability </w:t>
      </w:r>
      <w:r w:rsidR="00E62283">
        <w:rPr>
          <w:rFonts w:ascii="Times New Roman" w:hAnsi="Times New Roman" w:cs="Times New Roman"/>
          <w:sz w:val="24"/>
          <w:szCs w:val="24"/>
        </w:rPr>
        <w:t>using the pooled,</w:t>
      </w:r>
      <w:r w:rsidR="00E62283" w:rsidRPr="00EF7A6E">
        <w:rPr>
          <w:rFonts w:ascii="Times New Roman" w:hAnsi="Times New Roman" w:cs="Times New Roman"/>
          <w:sz w:val="24"/>
          <w:szCs w:val="24"/>
        </w:rPr>
        <w:t xml:space="preserve"> all-Irela</w:t>
      </w:r>
      <w:r w:rsidR="00E62283">
        <w:rPr>
          <w:rFonts w:ascii="Times New Roman" w:hAnsi="Times New Roman" w:cs="Times New Roman"/>
          <w:sz w:val="24"/>
          <w:szCs w:val="24"/>
        </w:rPr>
        <w:t>nd dataset</w:t>
      </w:r>
      <w:r w:rsidR="00E62283" w:rsidRPr="00EF7A6E">
        <w:rPr>
          <w:rFonts w:ascii="Times New Roman" w:hAnsi="Times New Roman" w:cs="Times New Roman"/>
          <w:sz w:val="24"/>
          <w:szCs w:val="24"/>
        </w:rPr>
        <w:t>.</w:t>
      </w:r>
      <w:r w:rsidR="00E62283">
        <w:rPr>
          <w:rFonts w:ascii="Times New Roman" w:hAnsi="Times New Roman" w:cs="Times New Roman"/>
          <w:sz w:val="24"/>
          <w:szCs w:val="24"/>
        </w:rPr>
        <w:t xml:space="preserve">  Each regression model was fully adjusted for </w:t>
      </w:r>
      <w:r w:rsidR="006F3ADC">
        <w:rPr>
          <w:rFonts w:ascii="Times New Roman" w:hAnsi="Times New Roman" w:cs="Times New Roman"/>
          <w:sz w:val="24"/>
          <w:szCs w:val="24"/>
        </w:rPr>
        <w:t xml:space="preserve">all other risk factors and </w:t>
      </w:r>
      <w:r w:rsidR="00E62283">
        <w:rPr>
          <w:rFonts w:ascii="Times New Roman" w:hAnsi="Times New Roman" w:cs="Times New Roman"/>
          <w:sz w:val="24"/>
          <w:szCs w:val="24"/>
        </w:rPr>
        <w:t>sociodemographic variables</w:t>
      </w:r>
      <w:r w:rsidR="00B904C6">
        <w:rPr>
          <w:rFonts w:ascii="Times New Roman" w:hAnsi="Times New Roman" w:cs="Times New Roman"/>
          <w:sz w:val="24"/>
          <w:szCs w:val="24"/>
        </w:rPr>
        <w:t>.</w:t>
      </w:r>
      <w:r w:rsidR="003A26CF">
        <w:rPr>
          <w:rFonts w:ascii="Times New Roman" w:hAnsi="Times New Roman" w:cs="Times New Roman"/>
          <w:sz w:val="24"/>
          <w:szCs w:val="24"/>
        </w:rPr>
        <w:t xml:space="preserve">  </w:t>
      </w:r>
      <w:r w:rsidR="00E62283">
        <w:rPr>
          <w:rFonts w:ascii="Times New Roman" w:hAnsi="Times New Roman" w:cs="Times New Roman"/>
          <w:sz w:val="24"/>
          <w:szCs w:val="24"/>
          <w:lang w:val="en-US"/>
        </w:rPr>
        <w:t>Risk facto</w:t>
      </w:r>
      <w:r w:rsidR="002D1C7F">
        <w:rPr>
          <w:rFonts w:ascii="Times New Roman" w:hAnsi="Times New Roman" w:cs="Times New Roman"/>
          <w:sz w:val="24"/>
          <w:szCs w:val="24"/>
          <w:lang w:val="en-US"/>
        </w:rPr>
        <w:t xml:space="preserve">r prevalence and </w:t>
      </w:r>
      <w:r w:rsidR="005A0B6C">
        <w:rPr>
          <w:rFonts w:ascii="Times New Roman" w:hAnsi="Times New Roman" w:cs="Times New Roman"/>
          <w:sz w:val="24"/>
          <w:szCs w:val="24"/>
          <w:lang w:val="en-US"/>
        </w:rPr>
        <w:t>RR</w:t>
      </w:r>
      <w:r w:rsidR="00E62283">
        <w:rPr>
          <w:rFonts w:ascii="Times New Roman" w:hAnsi="Times New Roman" w:cs="Times New Roman"/>
          <w:sz w:val="24"/>
          <w:szCs w:val="24"/>
          <w:lang w:val="en-US"/>
        </w:rPr>
        <w:t xml:space="preserve"> estimates for NI and ROI were combined in order </w:t>
      </w:r>
      <w:r w:rsidR="00E62283" w:rsidRPr="007C4BE6">
        <w:rPr>
          <w:rFonts w:ascii="Times New Roman" w:hAnsi="Times New Roman" w:cs="Times New Roman"/>
          <w:sz w:val="24"/>
          <w:szCs w:val="24"/>
        </w:rPr>
        <w:t>to calcula</w:t>
      </w:r>
      <w:r w:rsidR="00E62283">
        <w:rPr>
          <w:rFonts w:ascii="Times New Roman" w:hAnsi="Times New Roman" w:cs="Times New Roman"/>
          <w:sz w:val="24"/>
          <w:szCs w:val="24"/>
        </w:rPr>
        <w:t xml:space="preserve">te </w:t>
      </w:r>
      <w:r w:rsidR="00E62283" w:rsidRPr="007C4BE6">
        <w:rPr>
          <w:rFonts w:ascii="Times New Roman" w:hAnsi="Times New Roman" w:cs="Times New Roman"/>
          <w:sz w:val="24"/>
          <w:szCs w:val="24"/>
        </w:rPr>
        <w:t>PAF</w:t>
      </w:r>
      <w:r w:rsidR="00E62283">
        <w:rPr>
          <w:rFonts w:ascii="Times New Roman" w:hAnsi="Times New Roman" w:cs="Times New Roman"/>
          <w:sz w:val="24"/>
          <w:szCs w:val="24"/>
        </w:rPr>
        <w:t>s</w:t>
      </w:r>
      <w:r w:rsidR="00E62283" w:rsidRPr="007C4BE6">
        <w:rPr>
          <w:rFonts w:ascii="Times New Roman" w:hAnsi="Times New Roman" w:cs="Times New Roman"/>
          <w:sz w:val="24"/>
          <w:szCs w:val="24"/>
        </w:rPr>
        <w:t xml:space="preserve"> for each risk factor</w:t>
      </w:r>
      <w:r w:rsidR="00C03637">
        <w:rPr>
          <w:rFonts w:ascii="Times New Roman" w:hAnsi="Times New Roman" w:cs="Times New Roman"/>
          <w:sz w:val="24"/>
          <w:szCs w:val="24"/>
        </w:rPr>
        <w:t>.</w:t>
      </w:r>
      <w:r w:rsidR="00FE2A61">
        <w:rPr>
          <w:rFonts w:ascii="Times New Roman" w:hAnsi="Times New Roman" w:cs="Times New Roman"/>
          <w:sz w:val="24"/>
          <w:szCs w:val="24"/>
        </w:rPr>
        <w:t xml:space="preserve">  </w:t>
      </w:r>
      <w:r w:rsidR="002D1C7F">
        <w:rPr>
          <w:rFonts w:ascii="Times New Roman" w:hAnsi="Times New Roman" w:cs="Times New Roman"/>
          <w:sz w:val="24"/>
          <w:szCs w:val="24"/>
        </w:rPr>
        <w:t>Prevalence and relative risk</w:t>
      </w:r>
      <w:r w:rsidR="00E62283" w:rsidRPr="001F1536">
        <w:rPr>
          <w:rFonts w:ascii="Times New Roman" w:hAnsi="Times New Roman" w:cs="Times New Roman"/>
          <w:sz w:val="24"/>
          <w:szCs w:val="24"/>
        </w:rPr>
        <w:t xml:space="preserve"> analyses were conducted in </w:t>
      </w:r>
      <w:proofErr w:type="spellStart"/>
      <w:r w:rsidR="00E62283" w:rsidRPr="001F1536">
        <w:rPr>
          <w:rFonts w:ascii="Times New Roman" w:hAnsi="Times New Roman" w:cs="Times New Roman"/>
          <w:sz w:val="24"/>
          <w:szCs w:val="24"/>
        </w:rPr>
        <w:t>Stata</w:t>
      </w:r>
      <w:proofErr w:type="spellEnd"/>
      <w:r w:rsidR="004874D1">
        <w:rPr>
          <w:rFonts w:ascii="Times New Roman" w:hAnsi="Times New Roman" w:cs="Times New Roman"/>
          <w:sz w:val="24"/>
          <w:szCs w:val="24"/>
        </w:rPr>
        <w:t xml:space="preserve"> </w:t>
      </w:r>
      <w:r w:rsidR="00E62283" w:rsidRPr="001F1536">
        <w:rPr>
          <w:rFonts w:ascii="Times New Roman" w:hAnsi="Times New Roman" w:cs="Times New Roman"/>
          <w:sz w:val="24"/>
          <w:szCs w:val="24"/>
        </w:rPr>
        <w:t>12</w:t>
      </w:r>
      <w:r w:rsidR="00382E95">
        <w:rPr>
          <w:rFonts w:ascii="Times New Roman" w:hAnsi="Times New Roman" w:cs="Times New Roman"/>
          <w:sz w:val="24"/>
          <w:szCs w:val="24"/>
        </w:rPr>
        <w:t xml:space="preserve"> (</w:t>
      </w:r>
      <w:proofErr w:type="spellStart"/>
      <w:r w:rsidR="00382E95">
        <w:rPr>
          <w:rFonts w:ascii="Times New Roman" w:hAnsi="Times New Roman" w:cs="Times New Roman"/>
          <w:sz w:val="24"/>
          <w:szCs w:val="24"/>
        </w:rPr>
        <w:t>StataCorp</w:t>
      </w:r>
      <w:proofErr w:type="spellEnd"/>
      <w:r w:rsidR="00382E95">
        <w:rPr>
          <w:rFonts w:ascii="Times New Roman" w:hAnsi="Times New Roman" w:cs="Times New Roman"/>
          <w:sz w:val="24"/>
          <w:szCs w:val="24"/>
        </w:rPr>
        <w:t>, 2011)</w:t>
      </w:r>
      <w:r w:rsidR="009740CE">
        <w:rPr>
          <w:rFonts w:ascii="Times New Roman" w:hAnsi="Times New Roman" w:cs="Times New Roman"/>
          <w:sz w:val="24"/>
          <w:szCs w:val="24"/>
        </w:rPr>
        <w:t>;</w:t>
      </w:r>
      <w:r w:rsidR="00E62283" w:rsidRPr="001F1536">
        <w:rPr>
          <w:rFonts w:ascii="Times New Roman" w:hAnsi="Times New Roman" w:cs="Times New Roman"/>
          <w:sz w:val="24"/>
          <w:szCs w:val="24"/>
        </w:rPr>
        <w:t xml:space="preserve"> calculation of PAFs </w:t>
      </w:r>
      <w:r w:rsidR="00F139E6" w:rsidRPr="001F1536">
        <w:rPr>
          <w:rFonts w:ascii="Times New Roman" w:hAnsi="Times New Roman" w:cs="Times New Roman"/>
          <w:sz w:val="24"/>
          <w:szCs w:val="24"/>
        </w:rPr>
        <w:t>w</w:t>
      </w:r>
      <w:r w:rsidR="00F139E6">
        <w:rPr>
          <w:rFonts w:ascii="Times New Roman" w:hAnsi="Times New Roman" w:cs="Times New Roman"/>
          <w:sz w:val="24"/>
          <w:szCs w:val="24"/>
        </w:rPr>
        <w:t xml:space="preserve">as </w:t>
      </w:r>
      <w:r w:rsidR="00E62283">
        <w:rPr>
          <w:rFonts w:ascii="Times New Roman" w:hAnsi="Times New Roman" w:cs="Times New Roman"/>
          <w:sz w:val="24"/>
          <w:szCs w:val="24"/>
        </w:rPr>
        <w:t>conducted in Microsoft Excel.</w:t>
      </w:r>
    </w:p>
    <w:p w:rsidR="00586190" w:rsidRDefault="00586190" w:rsidP="00461457">
      <w:pPr>
        <w:spacing w:after="0" w:line="360" w:lineRule="auto"/>
        <w:rPr>
          <w:rFonts w:ascii="Times New Roman" w:hAnsi="Times New Roman" w:cs="Times New Roman"/>
          <w:sz w:val="24"/>
          <w:szCs w:val="24"/>
        </w:rPr>
      </w:pPr>
    </w:p>
    <w:p w:rsidR="00C03637" w:rsidRPr="008477B2" w:rsidRDefault="00C03637" w:rsidP="00461457">
      <w:pPr>
        <w:spacing w:after="0" w:line="360" w:lineRule="auto"/>
        <w:rPr>
          <w:rFonts w:ascii="Times New Roman" w:hAnsi="Times New Roman" w:cs="Times New Roman"/>
          <w:b/>
          <w:sz w:val="28"/>
          <w:szCs w:val="28"/>
        </w:rPr>
      </w:pPr>
      <w:r w:rsidRPr="008477B2">
        <w:rPr>
          <w:rFonts w:ascii="Times New Roman" w:hAnsi="Times New Roman" w:cs="Times New Roman"/>
          <w:b/>
          <w:sz w:val="28"/>
          <w:szCs w:val="28"/>
        </w:rPr>
        <w:t>Results</w:t>
      </w:r>
    </w:p>
    <w:p w:rsidR="00E62283" w:rsidRPr="00C03637" w:rsidRDefault="00DD308C" w:rsidP="00461457">
      <w:pPr>
        <w:spacing w:after="0" w:line="360" w:lineRule="auto"/>
        <w:rPr>
          <w:rFonts w:ascii="Times New Roman" w:hAnsi="Times New Roman" w:cs="Times New Roman"/>
          <w:i/>
          <w:sz w:val="24"/>
          <w:szCs w:val="24"/>
        </w:rPr>
      </w:pPr>
      <w:bookmarkStart w:id="2" w:name="_Toc403421088"/>
      <w:r>
        <w:rPr>
          <w:rFonts w:ascii="Times New Roman" w:hAnsi="Times New Roman" w:cs="Times New Roman"/>
          <w:i/>
          <w:sz w:val="24"/>
          <w:szCs w:val="24"/>
        </w:rPr>
        <w:t>Socio</w:t>
      </w:r>
      <w:r w:rsidR="00E62283" w:rsidRPr="00C03637">
        <w:rPr>
          <w:rFonts w:ascii="Times New Roman" w:hAnsi="Times New Roman" w:cs="Times New Roman"/>
          <w:i/>
          <w:sz w:val="24"/>
          <w:szCs w:val="24"/>
        </w:rPr>
        <w:t>demographic characteristics of the two samples</w:t>
      </w:r>
      <w:bookmarkEnd w:id="2"/>
    </w:p>
    <w:p w:rsidR="00E62283"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TILDA sample comprised 8162 respondents aged 50 and over; the NIHS sample comprised 2020 respondents aged 50 and over.  </w:t>
      </w:r>
      <w:r w:rsidRPr="004733F8">
        <w:rPr>
          <w:rFonts w:ascii="Times New Roman" w:hAnsi="Times New Roman" w:cs="Times New Roman"/>
          <w:sz w:val="24"/>
          <w:szCs w:val="24"/>
        </w:rPr>
        <w:t>Overall, the distribut</w:t>
      </w:r>
      <w:r>
        <w:rPr>
          <w:rFonts w:ascii="Times New Roman" w:hAnsi="Times New Roman" w:cs="Times New Roman"/>
          <w:sz w:val="24"/>
          <w:szCs w:val="24"/>
        </w:rPr>
        <w:t xml:space="preserve">ion of men and women </w:t>
      </w:r>
      <w:r w:rsidRPr="004733F8">
        <w:rPr>
          <w:rFonts w:ascii="Times New Roman" w:hAnsi="Times New Roman" w:cs="Times New Roman"/>
          <w:sz w:val="24"/>
          <w:szCs w:val="24"/>
        </w:rPr>
        <w:t xml:space="preserve">was more balanced </w:t>
      </w:r>
      <w:r>
        <w:rPr>
          <w:rFonts w:ascii="Times New Roman" w:hAnsi="Times New Roman" w:cs="Times New Roman"/>
          <w:sz w:val="24"/>
          <w:szCs w:val="24"/>
        </w:rPr>
        <w:t xml:space="preserve">in TILDA </w:t>
      </w:r>
      <w:r w:rsidRPr="004733F8">
        <w:rPr>
          <w:rFonts w:ascii="Times New Roman" w:hAnsi="Times New Roman" w:cs="Times New Roman"/>
          <w:sz w:val="24"/>
          <w:szCs w:val="24"/>
        </w:rPr>
        <w:t>(48% and 52% respectively) than in NI</w:t>
      </w:r>
      <w:r>
        <w:rPr>
          <w:rFonts w:ascii="Times New Roman" w:hAnsi="Times New Roman" w:cs="Times New Roman"/>
          <w:sz w:val="24"/>
          <w:szCs w:val="24"/>
        </w:rPr>
        <w:t>HS</w:t>
      </w:r>
      <w:r w:rsidRPr="004733F8">
        <w:rPr>
          <w:rFonts w:ascii="Times New Roman" w:hAnsi="Times New Roman" w:cs="Times New Roman"/>
          <w:sz w:val="24"/>
          <w:szCs w:val="24"/>
        </w:rPr>
        <w:t xml:space="preserve"> (38.3% and 61.7%) which had a higher proportion of </w:t>
      </w:r>
      <w:r>
        <w:rPr>
          <w:rFonts w:ascii="Times New Roman" w:hAnsi="Times New Roman" w:cs="Times New Roman"/>
          <w:sz w:val="24"/>
          <w:szCs w:val="24"/>
        </w:rPr>
        <w:t>women</w:t>
      </w:r>
      <w:r w:rsidRPr="004733F8">
        <w:rPr>
          <w:rFonts w:ascii="Times New Roman" w:hAnsi="Times New Roman" w:cs="Times New Roman"/>
          <w:sz w:val="24"/>
          <w:szCs w:val="24"/>
        </w:rPr>
        <w:t xml:space="preserve"> (pop</w:t>
      </w:r>
      <w:r>
        <w:rPr>
          <w:rFonts w:ascii="Times New Roman" w:hAnsi="Times New Roman" w:cs="Times New Roman"/>
          <w:sz w:val="24"/>
          <w:szCs w:val="24"/>
        </w:rPr>
        <w:t xml:space="preserve">ulation weighted percentages) (see </w:t>
      </w:r>
      <w:r w:rsidR="007D4372">
        <w:rPr>
          <w:rFonts w:ascii="Times New Roman" w:hAnsi="Times New Roman" w:cs="Times New Roman"/>
          <w:sz w:val="24"/>
          <w:szCs w:val="24"/>
        </w:rPr>
        <w:t>Fig 1</w:t>
      </w:r>
      <w:r>
        <w:rPr>
          <w:rFonts w:ascii="Times New Roman" w:hAnsi="Times New Roman" w:cs="Times New Roman"/>
          <w:sz w:val="24"/>
          <w:szCs w:val="24"/>
        </w:rPr>
        <w:t>).</w:t>
      </w:r>
    </w:p>
    <w:p w:rsidR="00E62283" w:rsidRDefault="00E62283" w:rsidP="00461457">
      <w:pPr>
        <w:spacing w:after="0" w:line="360" w:lineRule="auto"/>
        <w:rPr>
          <w:rFonts w:ascii="Times New Roman" w:hAnsi="Times New Roman" w:cs="Times New Roman"/>
          <w:sz w:val="24"/>
          <w:szCs w:val="24"/>
        </w:rPr>
      </w:pPr>
    </w:p>
    <w:p w:rsidR="00E62283" w:rsidRDefault="00ED15CE" w:rsidP="00461457">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669915" cy="27006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9915" cy="2700655"/>
                    </a:xfrm>
                    <a:prstGeom prst="rect">
                      <a:avLst/>
                    </a:prstGeom>
                    <a:noFill/>
                  </pic:spPr>
                </pic:pic>
              </a:graphicData>
            </a:graphic>
          </wp:inline>
        </w:drawing>
      </w:r>
    </w:p>
    <w:p w:rsidR="00ED15CE" w:rsidRDefault="00ED15CE" w:rsidP="00461457">
      <w:pPr>
        <w:spacing w:after="0" w:line="360" w:lineRule="auto"/>
        <w:rPr>
          <w:rFonts w:ascii="Times New Roman" w:hAnsi="Times New Roman" w:cs="Times New Roman"/>
          <w:sz w:val="24"/>
          <w:szCs w:val="24"/>
        </w:rPr>
      </w:pPr>
    </w:p>
    <w:p w:rsidR="00ED15CE" w:rsidRPr="00155296" w:rsidRDefault="00ED15CE" w:rsidP="00ED15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Pr="0064618B">
        <w:rPr>
          <w:rFonts w:ascii="Times New Roman" w:hAnsi="Times New Roman" w:cs="Times New Roman"/>
          <w:b/>
          <w:sz w:val="24"/>
          <w:szCs w:val="24"/>
        </w:rPr>
        <w:t>1</w:t>
      </w:r>
      <w:r>
        <w:rPr>
          <w:rFonts w:ascii="Times New Roman" w:hAnsi="Times New Roman" w:cs="Times New Roman"/>
          <w:b/>
          <w:sz w:val="24"/>
          <w:szCs w:val="24"/>
        </w:rPr>
        <w:t>.</w:t>
      </w:r>
      <w:r w:rsidRPr="0064618B">
        <w:rPr>
          <w:rFonts w:ascii="Times New Roman" w:hAnsi="Times New Roman" w:cs="Times New Roman"/>
          <w:b/>
          <w:sz w:val="24"/>
          <w:szCs w:val="24"/>
        </w:rPr>
        <w:t xml:space="preserve"> Percentage (weighted) of </w:t>
      </w:r>
      <w:r>
        <w:rPr>
          <w:rFonts w:ascii="Times New Roman" w:hAnsi="Times New Roman" w:cs="Times New Roman"/>
          <w:b/>
          <w:sz w:val="24"/>
          <w:szCs w:val="24"/>
        </w:rPr>
        <w:t>men</w:t>
      </w:r>
      <w:r w:rsidRPr="0064618B">
        <w:rPr>
          <w:rFonts w:ascii="Times New Roman" w:hAnsi="Times New Roman" w:cs="Times New Roman"/>
          <w:b/>
          <w:sz w:val="24"/>
          <w:szCs w:val="24"/>
        </w:rPr>
        <w:t xml:space="preserve"> and </w:t>
      </w:r>
      <w:r>
        <w:rPr>
          <w:rFonts w:ascii="Times New Roman" w:hAnsi="Times New Roman" w:cs="Times New Roman"/>
          <w:b/>
          <w:sz w:val="24"/>
          <w:szCs w:val="24"/>
        </w:rPr>
        <w:t>women</w:t>
      </w:r>
      <w:r w:rsidRPr="0064618B">
        <w:rPr>
          <w:rFonts w:ascii="Times New Roman" w:hAnsi="Times New Roman" w:cs="Times New Roman"/>
          <w:b/>
          <w:sz w:val="24"/>
          <w:szCs w:val="24"/>
        </w:rPr>
        <w:t xml:space="preserve"> in each age group</w:t>
      </w:r>
      <w:r>
        <w:rPr>
          <w:rFonts w:ascii="Times New Roman" w:hAnsi="Times New Roman" w:cs="Times New Roman"/>
          <w:b/>
          <w:sz w:val="24"/>
          <w:szCs w:val="24"/>
        </w:rPr>
        <w:t xml:space="preserve"> in TILDA and NIHS</w:t>
      </w:r>
    </w:p>
    <w:p w:rsidR="00ED15CE" w:rsidRDefault="00ED15CE" w:rsidP="00461457">
      <w:pPr>
        <w:spacing w:after="0" w:line="360" w:lineRule="auto"/>
        <w:rPr>
          <w:rFonts w:ascii="Times New Roman" w:hAnsi="Times New Roman" w:cs="Times New Roman"/>
          <w:sz w:val="24"/>
          <w:szCs w:val="24"/>
        </w:rPr>
      </w:pPr>
    </w:p>
    <w:p w:rsidR="00ED15CE" w:rsidRDefault="00ED15CE" w:rsidP="00461457">
      <w:pPr>
        <w:spacing w:after="0" w:line="360" w:lineRule="auto"/>
        <w:rPr>
          <w:rFonts w:ascii="Times New Roman" w:hAnsi="Times New Roman" w:cs="Times New Roman"/>
          <w:sz w:val="24"/>
          <w:szCs w:val="24"/>
        </w:rPr>
      </w:pPr>
    </w:p>
    <w:p w:rsidR="00E62283" w:rsidRPr="004733F8"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Results indicate</w:t>
      </w:r>
      <w:r w:rsidRPr="004733F8">
        <w:rPr>
          <w:rFonts w:ascii="Times New Roman" w:hAnsi="Times New Roman" w:cs="Times New Roman"/>
          <w:sz w:val="24"/>
          <w:szCs w:val="24"/>
        </w:rPr>
        <w:t xml:space="preserve"> a broadly similar distribution of respondents by age group in the two surveys; however, there was a slightly higher proportion of respondents aged 8</w:t>
      </w:r>
      <w:r>
        <w:rPr>
          <w:rFonts w:ascii="Times New Roman" w:hAnsi="Times New Roman" w:cs="Times New Roman"/>
          <w:sz w:val="24"/>
          <w:szCs w:val="24"/>
        </w:rPr>
        <w:t>0 and over</w:t>
      </w:r>
      <w:r w:rsidRPr="004733F8">
        <w:rPr>
          <w:rFonts w:ascii="Times New Roman" w:hAnsi="Times New Roman" w:cs="Times New Roman"/>
          <w:sz w:val="24"/>
          <w:szCs w:val="24"/>
        </w:rPr>
        <w:t xml:space="preserve"> in NIHS than in TILDA (12.3% vs 8.7% respectively)</w:t>
      </w:r>
      <w:r>
        <w:rPr>
          <w:rFonts w:ascii="Times New Roman" w:hAnsi="Times New Roman" w:cs="Times New Roman"/>
          <w:sz w:val="24"/>
          <w:szCs w:val="24"/>
        </w:rPr>
        <w:t xml:space="preserve"> which was to be expected given ROI’s younger population profile</w:t>
      </w:r>
      <w:r w:rsidRPr="004733F8">
        <w:rPr>
          <w:rFonts w:ascii="Times New Roman" w:hAnsi="Times New Roman" w:cs="Times New Roman"/>
          <w:sz w:val="24"/>
          <w:szCs w:val="24"/>
        </w:rPr>
        <w:t xml:space="preserve">.  As anticipated, there was a gradient of decreasing proportions of older respondents, and </w:t>
      </w:r>
      <w:r>
        <w:rPr>
          <w:rFonts w:ascii="Times New Roman" w:hAnsi="Times New Roman" w:cs="Times New Roman"/>
          <w:sz w:val="24"/>
          <w:szCs w:val="24"/>
        </w:rPr>
        <w:t xml:space="preserve">the </w:t>
      </w:r>
      <w:r w:rsidR="00F139E6">
        <w:rPr>
          <w:rFonts w:ascii="Times New Roman" w:hAnsi="Times New Roman" w:cs="Times New Roman"/>
          <w:sz w:val="24"/>
          <w:szCs w:val="24"/>
        </w:rPr>
        <w:t xml:space="preserve">proportion </w:t>
      </w:r>
      <w:r w:rsidRPr="004733F8">
        <w:rPr>
          <w:rFonts w:ascii="Times New Roman" w:hAnsi="Times New Roman" w:cs="Times New Roman"/>
          <w:sz w:val="24"/>
          <w:szCs w:val="24"/>
        </w:rPr>
        <w:t xml:space="preserve">of </w:t>
      </w:r>
      <w:r>
        <w:rPr>
          <w:rFonts w:ascii="Times New Roman" w:hAnsi="Times New Roman" w:cs="Times New Roman"/>
          <w:sz w:val="24"/>
          <w:szCs w:val="24"/>
        </w:rPr>
        <w:t>women</w:t>
      </w:r>
      <w:r w:rsidRPr="004733F8">
        <w:rPr>
          <w:rFonts w:ascii="Times New Roman" w:hAnsi="Times New Roman" w:cs="Times New Roman"/>
          <w:sz w:val="24"/>
          <w:szCs w:val="24"/>
        </w:rPr>
        <w:t xml:space="preserve"> increased with age. Th</w:t>
      </w:r>
      <w:r>
        <w:rPr>
          <w:rFonts w:ascii="Times New Roman" w:hAnsi="Times New Roman" w:cs="Times New Roman"/>
          <w:sz w:val="24"/>
          <w:szCs w:val="24"/>
        </w:rPr>
        <w:t xml:space="preserve">is was evident in both datasets (see </w:t>
      </w:r>
      <w:r w:rsidR="007D4372">
        <w:rPr>
          <w:rFonts w:ascii="Times New Roman" w:hAnsi="Times New Roman" w:cs="Times New Roman"/>
          <w:sz w:val="24"/>
          <w:szCs w:val="24"/>
        </w:rPr>
        <w:t>Fig 1</w:t>
      </w:r>
      <w:r>
        <w:rPr>
          <w:rFonts w:ascii="Times New Roman" w:hAnsi="Times New Roman" w:cs="Times New Roman"/>
          <w:sz w:val="24"/>
          <w:szCs w:val="24"/>
        </w:rPr>
        <w:t>).</w:t>
      </w:r>
    </w:p>
    <w:p w:rsidR="00E62283" w:rsidRPr="00542FB4" w:rsidRDefault="00E62283" w:rsidP="00461457">
      <w:pPr>
        <w:spacing w:after="0" w:line="360" w:lineRule="auto"/>
        <w:rPr>
          <w:rFonts w:ascii="Times New Roman" w:hAnsi="Times New Roman" w:cs="Times New Roman"/>
          <w:sz w:val="24"/>
          <w:szCs w:val="24"/>
        </w:rPr>
      </w:pPr>
    </w:p>
    <w:p w:rsidR="00E62283" w:rsidRPr="007D4372" w:rsidRDefault="0041120A" w:rsidP="00461457">
      <w:pPr>
        <w:spacing w:after="0" w:line="360" w:lineRule="auto"/>
        <w:rPr>
          <w:rFonts w:ascii="Times New Roman" w:hAnsi="Times New Roman" w:cs="Times New Roman"/>
          <w:i/>
          <w:sz w:val="24"/>
          <w:szCs w:val="24"/>
        </w:rPr>
      </w:pPr>
      <w:bookmarkStart w:id="3" w:name="_Toc403421090"/>
      <w:r>
        <w:rPr>
          <w:rFonts w:ascii="Times New Roman" w:hAnsi="Times New Roman" w:cs="Times New Roman"/>
          <w:i/>
          <w:sz w:val="24"/>
          <w:szCs w:val="24"/>
        </w:rPr>
        <w:t>D</w:t>
      </w:r>
      <w:r w:rsidR="00E62283" w:rsidRPr="007D4372">
        <w:rPr>
          <w:rFonts w:ascii="Times New Roman" w:hAnsi="Times New Roman" w:cs="Times New Roman"/>
          <w:i/>
          <w:sz w:val="24"/>
          <w:szCs w:val="24"/>
        </w:rPr>
        <w:t>isability</w:t>
      </w:r>
      <w:bookmarkEnd w:id="3"/>
    </w:p>
    <w:p w:rsidR="00E62283" w:rsidRPr="00B248AC" w:rsidRDefault="00E62283" w:rsidP="00461457">
      <w:pPr>
        <w:spacing w:after="0" w:line="360" w:lineRule="auto"/>
        <w:rPr>
          <w:rFonts w:ascii="Times New Roman" w:hAnsi="Times New Roman" w:cs="Times New Roman"/>
          <w:sz w:val="24"/>
          <w:szCs w:val="24"/>
        </w:rPr>
      </w:pPr>
      <w:r w:rsidRPr="00B248AC">
        <w:rPr>
          <w:rFonts w:ascii="Times New Roman" w:hAnsi="Times New Roman" w:cs="Times New Roman"/>
          <w:sz w:val="24"/>
          <w:szCs w:val="24"/>
        </w:rPr>
        <w:t xml:space="preserve">Of the 668 and 273 respondents in TILDA and NIHS (respectively) who reported having CHD, 308 and 191 (TILDA and NIHS respectively) reported having concurrent limitations </w:t>
      </w:r>
      <w:r w:rsidR="004A2BD7">
        <w:rPr>
          <w:rFonts w:ascii="Times New Roman" w:hAnsi="Times New Roman" w:cs="Times New Roman"/>
          <w:sz w:val="24"/>
          <w:szCs w:val="24"/>
        </w:rPr>
        <w:t>measured as</w:t>
      </w:r>
      <w:r w:rsidR="004A2BD7" w:rsidRPr="00B248AC">
        <w:rPr>
          <w:rFonts w:ascii="Times New Roman" w:hAnsi="Times New Roman" w:cs="Times New Roman"/>
          <w:sz w:val="24"/>
          <w:szCs w:val="24"/>
        </w:rPr>
        <w:t xml:space="preserve"> </w:t>
      </w:r>
      <w:r w:rsidRPr="00B248AC">
        <w:rPr>
          <w:rFonts w:ascii="Times New Roman" w:hAnsi="Times New Roman" w:cs="Times New Roman"/>
          <w:sz w:val="24"/>
          <w:szCs w:val="24"/>
        </w:rPr>
        <w:t>LLTI</w:t>
      </w:r>
      <w:r w:rsidR="004A2BD7">
        <w:rPr>
          <w:rFonts w:ascii="Times New Roman" w:hAnsi="Times New Roman" w:cs="Times New Roman"/>
          <w:sz w:val="24"/>
          <w:szCs w:val="24"/>
        </w:rPr>
        <w:t>.</w:t>
      </w:r>
      <w:r w:rsidRPr="00B248AC">
        <w:rPr>
          <w:rFonts w:ascii="Times New Roman" w:hAnsi="Times New Roman" w:cs="Times New Roman"/>
          <w:sz w:val="24"/>
          <w:szCs w:val="24"/>
        </w:rPr>
        <w:t xml:space="preserve">  This represents a disability prevalence of 4.1% and 8.8% (weighted) for the ROI and NI samples respectively (p&lt;0.001).</w:t>
      </w:r>
      <w:r>
        <w:rPr>
          <w:rFonts w:ascii="Times New Roman" w:hAnsi="Times New Roman" w:cs="Times New Roman"/>
          <w:sz w:val="24"/>
          <w:szCs w:val="24"/>
        </w:rPr>
        <w:t xml:space="preserve">  </w:t>
      </w:r>
      <w:r w:rsidRPr="006F35CC">
        <w:rPr>
          <w:rFonts w:ascii="Times New Roman" w:hAnsi="Times New Roman" w:cs="Times New Roman"/>
          <w:sz w:val="24"/>
          <w:szCs w:val="24"/>
        </w:rPr>
        <w:t xml:space="preserve">As shown in Table </w:t>
      </w:r>
      <w:r w:rsidR="00C52502">
        <w:rPr>
          <w:rFonts w:ascii="Times New Roman" w:hAnsi="Times New Roman" w:cs="Times New Roman"/>
          <w:sz w:val="24"/>
          <w:szCs w:val="24"/>
        </w:rPr>
        <w:t>2</w:t>
      </w:r>
      <w:r w:rsidR="009B3FC9">
        <w:rPr>
          <w:rFonts w:ascii="Times New Roman" w:hAnsi="Times New Roman" w:cs="Times New Roman"/>
          <w:sz w:val="24"/>
          <w:szCs w:val="24"/>
        </w:rPr>
        <w:t>,</w:t>
      </w:r>
      <w:r w:rsidRPr="006F35CC">
        <w:rPr>
          <w:rFonts w:ascii="Times New Roman" w:hAnsi="Times New Roman" w:cs="Times New Roman"/>
          <w:sz w:val="24"/>
          <w:szCs w:val="24"/>
        </w:rPr>
        <w:t xml:space="preserve"> the prevalence of disability was also significantly higher in NIHS for men and women</w:t>
      </w:r>
      <w:r>
        <w:rPr>
          <w:rFonts w:ascii="Times New Roman" w:hAnsi="Times New Roman" w:cs="Times New Roman"/>
          <w:sz w:val="24"/>
          <w:szCs w:val="24"/>
        </w:rPr>
        <w:t xml:space="preserve">, across all age groups, and for the high, medium, and low </w:t>
      </w:r>
      <w:r w:rsidRPr="006F35CC">
        <w:rPr>
          <w:rFonts w:ascii="Times New Roman" w:hAnsi="Times New Roman" w:cs="Times New Roman"/>
          <w:sz w:val="24"/>
          <w:szCs w:val="24"/>
        </w:rPr>
        <w:t xml:space="preserve">SEP groups.  Men had </w:t>
      </w:r>
      <w:r>
        <w:rPr>
          <w:rFonts w:ascii="Times New Roman" w:hAnsi="Times New Roman" w:cs="Times New Roman"/>
          <w:sz w:val="24"/>
          <w:szCs w:val="24"/>
        </w:rPr>
        <w:t xml:space="preserve">a </w:t>
      </w:r>
      <w:r w:rsidRPr="006F35CC">
        <w:rPr>
          <w:rFonts w:ascii="Times New Roman" w:hAnsi="Times New Roman" w:cs="Times New Roman"/>
          <w:sz w:val="24"/>
          <w:szCs w:val="24"/>
        </w:rPr>
        <w:t xml:space="preserve">slightly higher prevalence of disability in both countries, and </w:t>
      </w:r>
      <w:r w:rsidR="000E5C50">
        <w:rPr>
          <w:rFonts w:ascii="Times New Roman" w:hAnsi="Times New Roman" w:cs="Times New Roman"/>
          <w:sz w:val="24"/>
          <w:szCs w:val="24"/>
        </w:rPr>
        <w:t>the</w:t>
      </w:r>
      <w:r w:rsidRPr="006F35CC">
        <w:rPr>
          <w:rFonts w:ascii="Times New Roman" w:hAnsi="Times New Roman" w:cs="Times New Roman"/>
          <w:sz w:val="24"/>
          <w:szCs w:val="24"/>
        </w:rPr>
        <w:t xml:space="preserve"> prevalence of disability </w:t>
      </w:r>
      <w:r w:rsidR="000E5C50">
        <w:rPr>
          <w:rFonts w:ascii="Times New Roman" w:hAnsi="Times New Roman" w:cs="Times New Roman"/>
          <w:sz w:val="24"/>
          <w:szCs w:val="24"/>
        </w:rPr>
        <w:t xml:space="preserve">increased </w:t>
      </w:r>
      <w:r w:rsidRPr="006F35CC">
        <w:rPr>
          <w:rFonts w:ascii="Times New Roman" w:hAnsi="Times New Roman" w:cs="Times New Roman"/>
          <w:sz w:val="24"/>
          <w:szCs w:val="24"/>
        </w:rPr>
        <w:t xml:space="preserve">with age in both countries.  The highest prevalence of disability among the SEP </w:t>
      </w:r>
      <w:r w:rsidR="00BC70C7">
        <w:rPr>
          <w:rFonts w:ascii="Times New Roman" w:hAnsi="Times New Roman" w:cs="Times New Roman"/>
          <w:sz w:val="24"/>
          <w:szCs w:val="24"/>
        </w:rPr>
        <w:t xml:space="preserve">categories </w:t>
      </w:r>
      <w:r w:rsidRPr="006F35CC">
        <w:rPr>
          <w:rFonts w:ascii="Times New Roman" w:hAnsi="Times New Roman" w:cs="Times New Roman"/>
          <w:sz w:val="24"/>
          <w:szCs w:val="24"/>
        </w:rPr>
        <w:t>was for the low SEP group, followed by the high group, with the medium group having the lowest levels of disability.  This pattern was consistent in both countries</w:t>
      </w:r>
      <w:r>
        <w:rPr>
          <w:rFonts w:ascii="Times New Roman" w:hAnsi="Times New Roman" w:cs="Times New Roman"/>
          <w:sz w:val="24"/>
          <w:szCs w:val="24"/>
        </w:rPr>
        <w:t>.</w:t>
      </w:r>
    </w:p>
    <w:p w:rsidR="003A7534" w:rsidRDefault="003A7534" w:rsidP="00461457">
      <w:pPr>
        <w:spacing w:after="0" w:line="360" w:lineRule="auto"/>
        <w:rPr>
          <w:rFonts w:ascii="Times New Roman" w:hAnsi="Times New Roman" w:cs="Times New Roman"/>
          <w:sz w:val="24"/>
          <w:szCs w:val="24"/>
        </w:rPr>
      </w:pPr>
    </w:p>
    <w:p w:rsidR="00FC3917" w:rsidRPr="00832716" w:rsidRDefault="00FC3917" w:rsidP="004725E1">
      <w:pPr>
        <w:rPr>
          <w:rFonts w:ascii="Times New Roman" w:hAnsi="Times New Roman" w:cs="Times New Roman"/>
          <w:b/>
          <w:sz w:val="24"/>
          <w:szCs w:val="24"/>
        </w:rPr>
      </w:pPr>
      <w:r w:rsidRPr="00D14EED">
        <w:rPr>
          <w:rFonts w:ascii="Times New Roman" w:hAnsi="Times New Roman" w:cs="Times New Roman"/>
          <w:b/>
          <w:sz w:val="24"/>
          <w:szCs w:val="24"/>
        </w:rPr>
        <w:t>Table</w:t>
      </w:r>
      <w:r>
        <w:rPr>
          <w:rFonts w:ascii="Times New Roman" w:hAnsi="Times New Roman" w:cs="Times New Roman"/>
          <w:b/>
          <w:sz w:val="24"/>
          <w:szCs w:val="24"/>
        </w:rPr>
        <w:t xml:space="preserve"> 2.</w:t>
      </w:r>
      <w:r w:rsidRPr="00D14EED">
        <w:rPr>
          <w:rFonts w:ascii="Times New Roman" w:hAnsi="Times New Roman" w:cs="Times New Roman"/>
          <w:b/>
          <w:sz w:val="24"/>
          <w:szCs w:val="24"/>
        </w:rPr>
        <w:t xml:space="preserve"> Distribution of </w:t>
      </w:r>
      <w:r>
        <w:rPr>
          <w:rFonts w:ascii="Times New Roman" w:hAnsi="Times New Roman" w:cs="Times New Roman"/>
          <w:b/>
          <w:sz w:val="24"/>
          <w:szCs w:val="24"/>
        </w:rPr>
        <w:t>CHD-related</w:t>
      </w:r>
      <w:r w:rsidRPr="00D14EED">
        <w:rPr>
          <w:rFonts w:ascii="Times New Roman" w:hAnsi="Times New Roman" w:cs="Times New Roman"/>
          <w:b/>
          <w:sz w:val="24"/>
          <w:szCs w:val="24"/>
        </w:rPr>
        <w:t xml:space="preserve"> disability in TILDA</w:t>
      </w:r>
      <w:r>
        <w:rPr>
          <w:rFonts w:ascii="Times New Roman" w:hAnsi="Times New Roman" w:cs="Times New Roman"/>
          <w:b/>
          <w:sz w:val="24"/>
          <w:szCs w:val="24"/>
        </w:rPr>
        <w:t xml:space="preserve"> compared with </w:t>
      </w:r>
      <w:r w:rsidRPr="00D14EED">
        <w:rPr>
          <w:rFonts w:ascii="Times New Roman" w:hAnsi="Times New Roman" w:cs="Times New Roman"/>
          <w:b/>
          <w:sz w:val="24"/>
          <w:szCs w:val="24"/>
        </w:rPr>
        <w:t>NIHS</w:t>
      </w:r>
      <w:r>
        <w:rPr>
          <w:rFonts w:ascii="Times New Roman" w:hAnsi="Times New Roman" w:cs="Times New Roman"/>
          <w:b/>
          <w:sz w:val="24"/>
          <w:szCs w:val="24"/>
        </w:rPr>
        <w:t xml:space="preserve"> </w:t>
      </w:r>
      <w:r w:rsidRPr="00D14EED">
        <w:rPr>
          <w:rFonts w:ascii="Times New Roman" w:hAnsi="Times New Roman" w:cs="Times New Roman"/>
          <w:b/>
          <w:sz w:val="24"/>
          <w:szCs w:val="24"/>
        </w:rPr>
        <w:t>by gender, age</w:t>
      </w:r>
      <w:r>
        <w:rPr>
          <w:rFonts w:ascii="Times New Roman" w:hAnsi="Times New Roman" w:cs="Times New Roman"/>
          <w:b/>
          <w:sz w:val="24"/>
          <w:szCs w:val="24"/>
        </w:rPr>
        <w:t xml:space="preserve"> group</w:t>
      </w:r>
      <w:r w:rsidRPr="00D14EED">
        <w:rPr>
          <w:rFonts w:ascii="Times New Roman" w:hAnsi="Times New Roman" w:cs="Times New Roman"/>
          <w:b/>
          <w:sz w:val="24"/>
          <w:szCs w:val="24"/>
        </w:rPr>
        <w:t>, and SEP</w:t>
      </w:r>
      <w:r>
        <w:rPr>
          <w:rFonts w:ascii="Times New Roman" w:hAnsi="Times New Roman" w:cs="Times New Roman"/>
          <w:b/>
          <w:sz w:val="24"/>
          <w:szCs w:val="24"/>
        </w:rPr>
        <w:t xml:space="preserve"> (n=weighted %)</w:t>
      </w:r>
    </w:p>
    <w:tbl>
      <w:tblPr>
        <w:tblStyle w:val="TableGrid"/>
        <w:tblW w:w="8827" w:type="dxa"/>
        <w:tblBorders>
          <w:left w:val="none" w:sz="0" w:space="0" w:color="auto"/>
          <w:right w:val="none" w:sz="0" w:space="0" w:color="auto"/>
          <w:insideH w:val="none" w:sz="0" w:space="0" w:color="auto"/>
          <w:insideV w:val="none" w:sz="0" w:space="0" w:color="auto"/>
        </w:tblBorders>
        <w:tblLook w:val="04A0"/>
      </w:tblPr>
      <w:tblGrid>
        <w:gridCol w:w="1367"/>
        <w:gridCol w:w="2410"/>
        <w:gridCol w:w="767"/>
        <w:gridCol w:w="1518"/>
        <w:gridCol w:w="1127"/>
        <w:gridCol w:w="1638"/>
      </w:tblGrid>
      <w:tr w:rsidR="00FC3917" w:rsidRPr="00FC3917" w:rsidTr="00461457">
        <w:trPr>
          <w:trHeight w:val="300"/>
        </w:trPr>
        <w:tc>
          <w:tcPr>
            <w:tcW w:w="1367" w:type="dxa"/>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noWrap/>
            <w:vAlign w:val="center"/>
            <w:hideMark/>
          </w:tcPr>
          <w:p w:rsidR="00FC3917" w:rsidRPr="00FC3917" w:rsidRDefault="00FC3917" w:rsidP="004725E1">
            <w:pPr>
              <w:spacing w:line="276" w:lineRule="auto"/>
              <w:rPr>
                <w:rFonts w:ascii="Times New Roman" w:hAnsi="Times New Roman" w:cs="Times New Roman"/>
                <w:sz w:val="24"/>
                <w:szCs w:val="24"/>
              </w:rPr>
            </w:pPr>
          </w:p>
        </w:tc>
        <w:tc>
          <w:tcPr>
            <w:tcW w:w="2285" w:type="dxa"/>
            <w:gridSpan w:val="2"/>
            <w:vAlign w:val="center"/>
          </w:tcPr>
          <w:p w:rsidR="00FC3917" w:rsidRPr="00FC3917" w:rsidRDefault="00FC3917" w:rsidP="004725E1">
            <w:pPr>
              <w:spacing w:line="276" w:lineRule="auto"/>
              <w:rPr>
                <w:rFonts w:ascii="Times New Roman" w:hAnsi="Times New Roman" w:cs="Times New Roman"/>
                <w:b/>
                <w:bCs/>
                <w:sz w:val="24"/>
                <w:szCs w:val="24"/>
              </w:rPr>
            </w:pPr>
            <w:r w:rsidRPr="00FC3917">
              <w:rPr>
                <w:rFonts w:ascii="Times New Roman" w:hAnsi="Times New Roman" w:cs="Times New Roman"/>
                <w:b/>
                <w:bCs/>
                <w:sz w:val="24"/>
                <w:szCs w:val="24"/>
              </w:rPr>
              <w:t>TILDA</w:t>
            </w:r>
          </w:p>
        </w:tc>
        <w:tc>
          <w:tcPr>
            <w:tcW w:w="2765" w:type="dxa"/>
            <w:gridSpan w:val="2"/>
            <w:vAlign w:val="center"/>
          </w:tcPr>
          <w:p w:rsidR="00FC3917" w:rsidRPr="00FC3917" w:rsidRDefault="00FC3917" w:rsidP="004725E1">
            <w:pPr>
              <w:spacing w:line="276" w:lineRule="auto"/>
              <w:rPr>
                <w:rFonts w:ascii="Times New Roman" w:hAnsi="Times New Roman" w:cs="Times New Roman"/>
                <w:b/>
                <w:bCs/>
                <w:sz w:val="24"/>
                <w:szCs w:val="24"/>
              </w:rPr>
            </w:pPr>
            <w:r w:rsidRPr="00FC3917">
              <w:rPr>
                <w:rFonts w:ascii="Times New Roman" w:hAnsi="Times New Roman" w:cs="Times New Roman"/>
                <w:b/>
                <w:bCs/>
                <w:sz w:val="24"/>
                <w:szCs w:val="24"/>
              </w:rPr>
              <w:t>NIHS</w:t>
            </w:r>
          </w:p>
        </w:tc>
      </w:tr>
      <w:tr w:rsidR="00FC3917" w:rsidRPr="00FC3917" w:rsidTr="00461457">
        <w:trPr>
          <w:trHeight w:val="315"/>
        </w:trPr>
        <w:tc>
          <w:tcPr>
            <w:tcW w:w="136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tcBorders>
              <w:bottom w:val="single" w:sz="4" w:space="0" w:color="auto"/>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 </w:t>
            </w:r>
          </w:p>
        </w:tc>
        <w:tc>
          <w:tcPr>
            <w:tcW w:w="76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b/>
                <w:bCs/>
                <w:sz w:val="24"/>
                <w:szCs w:val="24"/>
              </w:rPr>
            </w:pPr>
            <w:r w:rsidRPr="00FC3917">
              <w:rPr>
                <w:rFonts w:ascii="Times New Roman" w:hAnsi="Times New Roman" w:cs="Times New Roman"/>
                <w:b/>
                <w:bCs/>
                <w:sz w:val="24"/>
                <w:szCs w:val="24"/>
              </w:rPr>
              <w:t>N</w:t>
            </w:r>
          </w:p>
        </w:tc>
        <w:tc>
          <w:tcPr>
            <w:tcW w:w="1518"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b/>
                <w:bCs/>
                <w:sz w:val="24"/>
                <w:szCs w:val="24"/>
              </w:rPr>
            </w:pPr>
            <w:proofErr w:type="gramStart"/>
            <w:r w:rsidRPr="00FC3917">
              <w:rPr>
                <w:rFonts w:ascii="Times New Roman" w:hAnsi="Times New Roman" w:cs="Times New Roman"/>
                <w:b/>
                <w:bCs/>
                <w:sz w:val="24"/>
                <w:szCs w:val="24"/>
              </w:rPr>
              <w:t>n</w:t>
            </w:r>
            <w:proofErr w:type="gramEnd"/>
            <w:r w:rsidRPr="00FC3917">
              <w:rPr>
                <w:rFonts w:ascii="Times New Roman" w:hAnsi="Times New Roman" w:cs="Times New Roman"/>
                <w:b/>
                <w:bCs/>
                <w:sz w:val="24"/>
                <w:szCs w:val="24"/>
              </w:rPr>
              <w:t xml:space="preserve"> (%)</w:t>
            </w:r>
          </w:p>
        </w:tc>
        <w:tc>
          <w:tcPr>
            <w:tcW w:w="112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b/>
                <w:bCs/>
                <w:sz w:val="24"/>
                <w:szCs w:val="24"/>
              </w:rPr>
            </w:pPr>
            <w:r w:rsidRPr="00FC3917">
              <w:rPr>
                <w:rFonts w:ascii="Times New Roman" w:hAnsi="Times New Roman" w:cs="Times New Roman"/>
                <w:b/>
                <w:bCs/>
                <w:sz w:val="24"/>
                <w:szCs w:val="24"/>
              </w:rPr>
              <w:t>N</w:t>
            </w:r>
          </w:p>
        </w:tc>
        <w:tc>
          <w:tcPr>
            <w:tcW w:w="1638"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b/>
                <w:bCs/>
                <w:sz w:val="24"/>
                <w:szCs w:val="24"/>
              </w:rPr>
            </w:pPr>
            <w:proofErr w:type="gramStart"/>
            <w:r w:rsidRPr="00FC3917">
              <w:rPr>
                <w:rFonts w:ascii="Times New Roman" w:hAnsi="Times New Roman" w:cs="Times New Roman"/>
                <w:b/>
                <w:bCs/>
                <w:sz w:val="24"/>
                <w:szCs w:val="24"/>
              </w:rPr>
              <w:t>n</w:t>
            </w:r>
            <w:proofErr w:type="gramEnd"/>
            <w:r w:rsidRPr="00FC3917">
              <w:rPr>
                <w:rFonts w:ascii="Times New Roman" w:hAnsi="Times New Roman" w:cs="Times New Roman"/>
                <w:b/>
                <w:bCs/>
                <w:sz w:val="24"/>
                <w:szCs w:val="24"/>
              </w:rPr>
              <w:t xml:space="preserve"> (%)</w:t>
            </w:r>
          </w:p>
        </w:tc>
      </w:tr>
      <w:tr w:rsidR="00FC3917" w:rsidRPr="00FC3917" w:rsidTr="00461457">
        <w:trPr>
          <w:trHeight w:val="300"/>
        </w:trPr>
        <w:tc>
          <w:tcPr>
            <w:tcW w:w="1367" w:type="dxa"/>
            <w:tcBorders>
              <w:top w:val="single" w:sz="4" w:space="0" w:color="auto"/>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All</w:t>
            </w:r>
          </w:p>
        </w:tc>
        <w:tc>
          <w:tcPr>
            <w:tcW w:w="2410" w:type="dxa"/>
            <w:tcBorders>
              <w:top w:val="single" w:sz="4" w:space="0" w:color="auto"/>
              <w:bottom w:val="single" w:sz="4" w:space="0" w:color="auto"/>
            </w:tcBorders>
            <w:noWrap/>
            <w:vAlign w:val="center"/>
            <w:hideMark/>
          </w:tcPr>
          <w:p w:rsidR="00FC3917" w:rsidRPr="00FC3917" w:rsidRDefault="00FC3917" w:rsidP="004725E1">
            <w:pPr>
              <w:spacing w:line="276" w:lineRule="auto"/>
              <w:rPr>
                <w:rFonts w:ascii="Times New Roman" w:hAnsi="Times New Roman" w:cs="Times New Roman"/>
                <w:sz w:val="24"/>
                <w:szCs w:val="24"/>
              </w:rPr>
            </w:pPr>
          </w:p>
        </w:tc>
        <w:tc>
          <w:tcPr>
            <w:tcW w:w="767" w:type="dxa"/>
            <w:tcBorders>
              <w:top w:val="single" w:sz="4" w:space="0" w:color="auto"/>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8162</w:t>
            </w:r>
          </w:p>
        </w:tc>
        <w:tc>
          <w:tcPr>
            <w:tcW w:w="1518" w:type="dxa"/>
            <w:tcBorders>
              <w:top w:val="single" w:sz="4" w:space="0" w:color="auto"/>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308 (4.1)</w:t>
            </w:r>
          </w:p>
        </w:tc>
        <w:tc>
          <w:tcPr>
            <w:tcW w:w="1127" w:type="dxa"/>
            <w:tcBorders>
              <w:top w:val="single" w:sz="4" w:space="0" w:color="auto"/>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2020</w:t>
            </w:r>
          </w:p>
        </w:tc>
        <w:tc>
          <w:tcPr>
            <w:tcW w:w="1638" w:type="dxa"/>
            <w:tcBorders>
              <w:top w:val="single" w:sz="4" w:space="0" w:color="auto"/>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191 (8.8)***</w:t>
            </w:r>
          </w:p>
        </w:tc>
      </w:tr>
      <w:tr w:rsidR="00FC3917" w:rsidRPr="00FC3917" w:rsidTr="00461457">
        <w:trPr>
          <w:trHeight w:val="300"/>
        </w:trPr>
        <w:tc>
          <w:tcPr>
            <w:tcW w:w="13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Gender</w:t>
            </w:r>
          </w:p>
        </w:tc>
        <w:tc>
          <w:tcPr>
            <w:tcW w:w="2410" w:type="dxa"/>
            <w:tcBorders>
              <w:top w:val="single" w:sz="4" w:space="0" w:color="auto"/>
              <w:bottom w:val="nil"/>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Men</w:t>
            </w:r>
          </w:p>
        </w:tc>
        <w:tc>
          <w:tcPr>
            <w:tcW w:w="7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3739</w:t>
            </w:r>
          </w:p>
        </w:tc>
        <w:tc>
          <w:tcPr>
            <w:tcW w:w="151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166 (4.4)</w:t>
            </w:r>
          </w:p>
        </w:tc>
        <w:tc>
          <w:tcPr>
            <w:tcW w:w="112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921</w:t>
            </w:r>
          </w:p>
        </w:tc>
        <w:tc>
          <w:tcPr>
            <w:tcW w:w="163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100 (10.0)***</w:t>
            </w:r>
          </w:p>
        </w:tc>
      </w:tr>
      <w:tr w:rsidR="00FC3917" w:rsidRPr="00FC3917" w:rsidTr="00461457">
        <w:trPr>
          <w:trHeight w:val="300"/>
        </w:trPr>
        <w:tc>
          <w:tcPr>
            <w:tcW w:w="1367" w:type="dxa"/>
            <w:tcBorders>
              <w:top w:val="nil"/>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tcBorders>
              <w:top w:val="nil"/>
              <w:bottom w:val="single" w:sz="4" w:space="0" w:color="auto"/>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Women</w:t>
            </w:r>
          </w:p>
        </w:tc>
        <w:tc>
          <w:tcPr>
            <w:tcW w:w="767" w:type="dxa"/>
            <w:tcBorders>
              <w:top w:val="nil"/>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4423</w:t>
            </w:r>
          </w:p>
        </w:tc>
        <w:tc>
          <w:tcPr>
            <w:tcW w:w="1518" w:type="dxa"/>
            <w:tcBorders>
              <w:top w:val="nil"/>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142 (3.7)</w:t>
            </w:r>
          </w:p>
        </w:tc>
        <w:tc>
          <w:tcPr>
            <w:tcW w:w="1127" w:type="dxa"/>
            <w:tcBorders>
              <w:top w:val="nil"/>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1099</w:t>
            </w:r>
          </w:p>
        </w:tc>
        <w:tc>
          <w:tcPr>
            <w:tcW w:w="1638" w:type="dxa"/>
            <w:tcBorders>
              <w:top w:val="nil"/>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91 (8.1)***</w:t>
            </w:r>
          </w:p>
        </w:tc>
      </w:tr>
      <w:tr w:rsidR="00FC3917" w:rsidRPr="00FC3917" w:rsidTr="00461457">
        <w:trPr>
          <w:trHeight w:val="300"/>
        </w:trPr>
        <w:tc>
          <w:tcPr>
            <w:tcW w:w="13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Age</w:t>
            </w:r>
          </w:p>
        </w:tc>
        <w:tc>
          <w:tcPr>
            <w:tcW w:w="2410" w:type="dxa"/>
            <w:tcBorders>
              <w:top w:val="single" w:sz="4" w:space="0" w:color="auto"/>
              <w:bottom w:val="nil"/>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50-59</w:t>
            </w:r>
          </w:p>
        </w:tc>
        <w:tc>
          <w:tcPr>
            <w:tcW w:w="7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3270</w:t>
            </w:r>
          </w:p>
        </w:tc>
        <w:tc>
          <w:tcPr>
            <w:tcW w:w="151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45 (1.6)</w:t>
            </w:r>
          </w:p>
        </w:tc>
        <w:tc>
          <w:tcPr>
            <w:tcW w:w="112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661</w:t>
            </w:r>
          </w:p>
        </w:tc>
        <w:tc>
          <w:tcPr>
            <w:tcW w:w="163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25 (4.0)***</w:t>
            </w:r>
          </w:p>
        </w:tc>
      </w:tr>
      <w:tr w:rsidR="00FC3917" w:rsidRPr="00FC3917" w:rsidTr="00461457">
        <w:trPr>
          <w:trHeight w:val="300"/>
        </w:trPr>
        <w:tc>
          <w:tcPr>
            <w:tcW w:w="136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tcBorders>
              <w:top w:val="nil"/>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60-69</w:t>
            </w:r>
          </w:p>
        </w:tc>
        <w:tc>
          <w:tcPr>
            <w:tcW w:w="76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2589</w:t>
            </w:r>
          </w:p>
        </w:tc>
        <w:tc>
          <w:tcPr>
            <w:tcW w:w="1518"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101 (4.2)</w:t>
            </w:r>
          </w:p>
        </w:tc>
        <w:tc>
          <w:tcPr>
            <w:tcW w:w="112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687</w:t>
            </w:r>
          </w:p>
        </w:tc>
        <w:tc>
          <w:tcPr>
            <w:tcW w:w="1638"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65 (8.9)***</w:t>
            </w:r>
          </w:p>
        </w:tc>
      </w:tr>
      <w:tr w:rsidR="00FC3917" w:rsidRPr="00FC3917" w:rsidTr="00461457">
        <w:trPr>
          <w:trHeight w:val="300"/>
        </w:trPr>
        <w:tc>
          <w:tcPr>
            <w:tcW w:w="1367" w:type="dxa"/>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70-79</w:t>
            </w:r>
          </w:p>
        </w:tc>
        <w:tc>
          <w:tcPr>
            <w:tcW w:w="76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1677</w:t>
            </w:r>
          </w:p>
        </w:tc>
        <w:tc>
          <w:tcPr>
            <w:tcW w:w="151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114 (6.9)</w:t>
            </w:r>
          </w:p>
        </w:tc>
        <w:tc>
          <w:tcPr>
            <w:tcW w:w="112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466</w:t>
            </w:r>
          </w:p>
        </w:tc>
        <w:tc>
          <w:tcPr>
            <w:tcW w:w="163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69 (13.6)***</w:t>
            </w:r>
          </w:p>
        </w:tc>
      </w:tr>
      <w:tr w:rsidR="00FC3917" w:rsidRPr="00FC3917" w:rsidTr="00461457">
        <w:trPr>
          <w:trHeight w:val="300"/>
        </w:trPr>
        <w:tc>
          <w:tcPr>
            <w:tcW w:w="136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tcBorders>
              <w:bottom w:val="single" w:sz="4" w:space="0" w:color="auto"/>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80+</w:t>
            </w:r>
          </w:p>
        </w:tc>
        <w:tc>
          <w:tcPr>
            <w:tcW w:w="76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626</w:t>
            </w:r>
          </w:p>
        </w:tc>
        <w:tc>
          <w:tcPr>
            <w:tcW w:w="1518"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48 (8.3)</w:t>
            </w:r>
          </w:p>
        </w:tc>
        <w:tc>
          <w:tcPr>
            <w:tcW w:w="1127"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206</w:t>
            </w:r>
          </w:p>
        </w:tc>
        <w:tc>
          <w:tcPr>
            <w:tcW w:w="1638" w:type="dxa"/>
            <w:tcBorders>
              <w:bottom w:val="single" w:sz="4" w:space="0" w:color="auto"/>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32 (15.2)***</w:t>
            </w:r>
          </w:p>
        </w:tc>
      </w:tr>
      <w:tr w:rsidR="00FC3917" w:rsidRPr="00FC3917" w:rsidTr="00461457">
        <w:trPr>
          <w:trHeight w:val="300"/>
        </w:trPr>
        <w:tc>
          <w:tcPr>
            <w:tcW w:w="13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SEP</w:t>
            </w:r>
          </w:p>
        </w:tc>
        <w:tc>
          <w:tcPr>
            <w:tcW w:w="2410" w:type="dxa"/>
            <w:tcBorders>
              <w:top w:val="single" w:sz="4" w:space="0" w:color="auto"/>
              <w:bottom w:val="nil"/>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High</w:t>
            </w:r>
          </w:p>
        </w:tc>
        <w:tc>
          <w:tcPr>
            <w:tcW w:w="76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1799</w:t>
            </w:r>
          </w:p>
        </w:tc>
        <w:tc>
          <w:tcPr>
            <w:tcW w:w="151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50 (2.9)</w:t>
            </w:r>
          </w:p>
        </w:tc>
        <w:tc>
          <w:tcPr>
            <w:tcW w:w="1127"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297</w:t>
            </w:r>
          </w:p>
        </w:tc>
        <w:tc>
          <w:tcPr>
            <w:tcW w:w="1638" w:type="dxa"/>
            <w:tcBorders>
              <w:top w:val="single" w:sz="4" w:space="0" w:color="auto"/>
              <w:bottom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24 (7.6)***</w:t>
            </w:r>
          </w:p>
        </w:tc>
      </w:tr>
      <w:tr w:rsidR="00FC3917" w:rsidRPr="00FC3917" w:rsidTr="00461457">
        <w:trPr>
          <w:trHeight w:val="300"/>
        </w:trPr>
        <w:tc>
          <w:tcPr>
            <w:tcW w:w="136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tcBorders>
              <w:top w:val="nil"/>
            </w:tcBorders>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Medium</w:t>
            </w:r>
          </w:p>
        </w:tc>
        <w:tc>
          <w:tcPr>
            <w:tcW w:w="76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953</w:t>
            </w:r>
          </w:p>
        </w:tc>
        <w:tc>
          <w:tcPr>
            <w:tcW w:w="1518"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21 (2.2)</w:t>
            </w:r>
          </w:p>
        </w:tc>
        <w:tc>
          <w:tcPr>
            <w:tcW w:w="1127"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651</w:t>
            </w:r>
          </w:p>
        </w:tc>
        <w:tc>
          <w:tcPr>
            <w:tcW w:w="1638" w:type="dxa"/>
            <w:tcBorders>
              <w:top w:val="nil"/>
            </w:tcBorders>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41 (5.9)***</w:t>
            </w:r>
          </w:p>
        </w:tc>
      </w:tr>
      <w:tr w:rsidR="00FC3917" w:rsidRPr="00FC3917" w:rsidTr="00461457">
        <w:trPr>
          <w:trHeight w:val="300"/>
        </w:trPr>
        <w:tc>
          <w:tcPr>
            <w:tcW w:w="1367" w:type="dxa"/>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Low</w:t>
            </w:r>
          </w:p>
        </w:tc>
        <w:tc>
          <w:tcPr>
            <w:tcW w:w="76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2291</w:t>
            </w:r>
          </w:p>
        </w:tc>
        <w:tc>
          <w:tcPr>
            <w:tcW w:w="151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112 (5.0)</w:t>
            </w:r>
          </w:p>
        </w:tc>
        <w:tc>
          <w:tcPr>
            <w:tcW w:w="112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1072</w:t>
            </w:r>
          </w:p>
        </w:tc>
        <w:tc>
          <w:tcPr>
            <w:tcW w:w="163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126 (11.1)***</w:t>
            </w:r>
          </w:p>
        </w:tc>
      </w:tr>
      <w:tr w:rsidR="00FC3917" w:rsidRPr="00FC3917" w:rsidTr="00461457">
        <w:trPr>
          <w:trHeight w:val="300"/>
        </w:trPr>
        <w:tc>
          <w:tcPr>
            <w:tcW w:w="1367" w:type="dxa"/>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Not applicable</w:t>
            </w:r>
            <w:r w:rsidRPr="00FC3917">
              <w:rPr>
                <w:rFonts w:ascii="Times New Roman" w:hAnsi="Times New Roman" w:cs="Times New Roman"/>
                <w:sz w:val="24"/>
                <w:szCs w:val="24"/>
                <w:vertAlign w:val="superscript"/>
              </w:rPr>
              <w:t>§</w:t>
            </w:r>
          </w:p>
        </w:tc>
        <w:tc>
          <w:tcPr>
            <w:tcW w:w="76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2323</w:t>
            </w:r>
          </w:p>
        </w:tc>
        <w:tc>
          <w:tcPr>
            <w:tcW w:w="151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110 (5.1)</w:t>
            </w:r>
          </w:p>
        </w:tc>
        <w:tc>
          <w:tcPr>
            <w:tcW w:w="112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w:t>
            </w:r>
          </w:p>
        </w:tc>
        <w:tc>
          <w:tcPr>
            <w:tcW w:w="163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w:t>
            </w:r>
          </w:p>
        </w:tc>
      </w:tr>
      <w:tr w:rsidR="00FC3917" w:rsidRPr="00FC3917" w:rsidTr="00461457">
        <w:trPr>
          <w:trHeight w:val="315"/>
        </w:trPr>
        <w:tc>
          <w:tcPr>
            <w:tcW w:w="1367" w:type="dxa"/>
            <w:vAlign w:val="center"/>
          </w:tcPr>
          <w:p w:rsidR="00FC3917" w:rsidRPr="00FC3917" w:rsidRDefault="00FC3917" w:rsidP="004725E1">
            <w:pPr>
              <w:spacing w:line="276" w:lineRule="auto"/>
              <w:rPr>
                <w:rFonts w:ascii="Times New Roman" w:hAnsi="Times New Roman" w:cs="Times New Roman"/>
                <w:sz w:val="24"/>
                <w:szCs w:val="24"/>
              </w:rPr>
            </w:pPr>
          </w:p>
        </w:tc>
        <w:tc>
          <w:tcPr>
            <w:tcW w:w="2410" w:type="dxa"/>
            <w:noWrap/>
            <w:vAlign w:val="center"/>
            <w:hideMark/>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Missing/refused</w:t>
            </w:r>
            <w:r w:rsidRPr="00FC3917">
              <w:rPr>
                <w:rFonts w:ascii="Times New Roman" w:hAnsi="Times New Roman" w:cs="Times New Roman"/>
                <w:sz w:val="24"/>
                <w:szCs w:val="24"/>
                <w:vertAlign w:val="superscript"/>
              </w:rPr>
              <w:t>§</w:t>
            </w:r>
          </w:p>
        </w:tc>
        <w:tc>
          <w:tcPr>
            <w:tcW w:w="76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796</w:t>
            </w:r>
          </w:p>
        </w:tc>
        <w:tc>
          <w:tcPr>
            <w:tcW w:w="151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15 (2.2)</w:t>
            </w:r>
          </w:p>
        </w:tc>
        <w:tc>
          <w:tcPr>
            <w:tcW w:w="1127"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w:t>
            </w:r>
          </w:p>
        </w:tc>
        <w:tc>
          <w:tcPr>
            <w:tcW w:w="1638" w:type="dxa"/>
            <w:vAlign w:val="center"/>
          </w:tcPr>
          <w:p w:rsidR="00FC3917" w:rsidRPr="00FC3917" w:rsidRDefault="00FC3917" w:rsidP="004725E1">
            <w:pPr>
              <w:spacing w:line="276" w:lineRule="auto"/>
              <w:rPr>
                <w:rFonts w:ascii="Times New Roman" w:hAnsi="Times New Roman" w:cs="Times New Roman"/>
                <w:sz w:val="24"/>
                <w:szCs w:val="24"/>
              </w:rPr>
            </w:pPr>
            <w:r w:rsidRPr="00FC3917">
              <w:rPr>
                <w:rFonts w:ascii="Times New Roman" w:hAnsi="Times New Roman" w:cs="Times New Roman"/>
                <w:sz w:val="24"/>
                <w:szCs w:val="24"/>
              </w:rPr>
              <w:t>-</w:t>
            </w:r>
          </w:p>
        </w:tc>
      </w:tr>
    </w:tbl>
    <w:p w:rsidR="00FC3917" w:rsidRPr="00D83C19" w:rsidRDefault="00FC3917" w:rsidP="004725E1">
      <w:pPr>
        <w:spacing w:after="0"/>
        <w:rPr>
          <w:rFonts w:ascii="Times New Roman" w:hAnsi="Times New Roman" w:cs="Times New Roman"/>
        </w:rPr>
      </w:pPr>
      <w:r w:rsidRPr="00D83C19">
        <w:rPr>
          <w:rFonts w:ascii="Times New Roman" w:hAnsi="Times New Roman" w:cs="Times New Roman"/>
        </w:rPr>
        <w:t xml:space="preserve">*** </w:t>
      </w:r>
      <w:r w:rsidRPr="00F379E8">
        <w:rPr>
          <w:rFonts w:ascii="Times New Roman" w:hAnsi="Times New Roman" w:cs="Times New Roman"/>
        </w:rPr>
        <w:t>P</w:t>
      </w:r>
      <w:r w:rsidRPr="00D83C19">
        <w:rPr>
          <w:rFonts w:ascii="Times New Roman" w:hAnsi="Times New Roman" w:cs="Times New Roman"/>
        </w:rPr>
        <w:t xml:space="preserve">≤0.001; </w:t>
      </w:r>
      <w:r w:rsidRPr="00D83C19">
        <w:rPr>
          <w:rFonts w:ascii="Times New Roman" w:hAnsi="Times New Roman" w:cs="Times New Roman"/>
          <w:vertAlign w:val="superscript"/>
        </w:rPr>
        <w:t>§</w:t>
      </w:r>
      <w:r w:rsidRPr="00D83C19">
        <w:rPr>
          <w:rFonts w:ascii="Times New Roman" w:hAnsi="Times New Roman" w:cs="Times New Roman"/>
        </w:rPr>
        <w:t xml:space="preserve"> </w:t>
      </w:r>
      <w:proofErr w:type="gramStart"/>
      <w:r w:rsidRPr="00D83C19">
        <w:rPr>
          <w:rFonts w:ascii="Times New Roman" w:hAnsi="Times New Roman" w:cs="Times New Roman"/>
        </w:rPr>
        <w:t>These</w:t>
      </w:r>
      <w:proofErr w:type="gramEnd"/>
      <w:r w:rsidRPr="00D83C19">
        <w:rPr>
          <w:rFonts w:ascii="Times New Roman" w:hAnsi="Times New Roman" w:cs="Times New Roman"/>
        </w:rPr>
        <w:t xml:space="preserve"> categories apply to TILDA only</w:t>
      </w:r>
    </w:p>
    <w:p w:rsidR="00FC3917" w:rsidRDefault="00FC3917" w:rsidP="00461457">
      <w:pPr>
        <w:spacing w:after="0" w:line="360" w:lineRule="auto"/>
        <w:rPr>
          <w:rFonts w:ascii="Times New Roman" w:hAnsi="Times New Roman" w:cs="Times New Roman"/>
          <w:sz w:val="24"/>
          <w:szCs w:val="24"/>
        </w:rPr>
      </w:pPr>
    </w:p>
    <w:p w:rsidR="00FC3917" w:rsidRPr="006341CC" w:rsidRDefault="00FC3917" w:rsidP="00461457">
      <w:pPr>
        <w:spacing w:after="0" w:line="360" w:lineRule="auto"/>
        <w:rPr>
          <w:rFonts w:ascii="Times New Roman" w:hAnsi="Times New Roman" w:cs="Times New Roman"/>
          <w:sz w:val="24"/>
          <w:szCs w:val="24"/>
        </w:rPr>
      </w:pPr>
    </w:p>
    <w:p w:rsidR="00E62283" w:rsidRPr="009B3FC9" w:rsidRDefault="00E62283" w:rsidP="00461457">
      <w:pPr>
        <w:spacing w:after="0" w:line="360" w:lineRule="auto"/>
        <w:rPr>
          <w:rFonts w:ascii="Times New Roman" w:hAnsi="Times New Roman" w:cs="Times New Roman"/>
          <w:i/>
          <w:sz w:val="24"/>
          <w:szCs w:val="24"/>
        </w:rPr>
      </w:pPr>
      <w:bookmarkStart w:id="4" w:name="_Toc403421091"/>
      <w:r w:rsidRPr="009B3FC9">
        <w:rPr>
          <w:rFonts w:ascii="Times New Roman" w:hAnsi="Times New Roman" w:cs="Times New Roman"/>
          <w:i/>
          <w:sz w:val="24"/>
          <w:szCs w:val="24"/>
        </w:rPr>
        <w:t>Prevalence and population attributable fractions for risk factors</w:t>
      </w:r>
      <w:bookmarkEnd w:id="4"/>
    </w:p>
    <w:p w:rsidR="00E62283" w:rsidRDefault="006A014A"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C52502">
        <w:rPr>
          <w:rFonts w:ascii="Times New Roman" w:hAnsi="Times New Roman" w:cs="Times New Roman"/>
          <w:sz w:val="24"/>
          <w:szCs w:val="24"/>
        </w:rPr>
        <w:t>3</w:t>
      </w:r>
      <w:r>
        <w:rPr>
          <w:rFonts w:ascii="Times New Roman" w:hAnsi="Times New Roman" w:cs="Times New Roman"/>
          <w:sz w:val="24"/>
          <w:szCs w:val="24"/>
        </w:rPr>
        <w:t xml:space="preserve"> shows t</w:t>
      </w:r>
      <w:r w:rsidR="00E62283">
        <w:rPr>
          <w:rFonts w:ascii="Times New Roman" w:hAnsi="Times New Roman" w:cs="Times New Roman"/>
          <w:sz w:val="24"/>
          <w:szCs w:val="24"/>
        </w:rPr>
        <w:t>he prevalence</w:t>
      </w:r>
      <w:r w:rsidR="00545F73">
        <w:rPr>
          <w:rFonts w:ascii="Times New Roman" w:hAnsi="Times New Roman" w:cs="Times New Roman"/>
          <w:sz w:val="24"/>
          <w:szCs w:val="24"/>
        </w:rPr>
        <w:t xml:space="preserve">, </w:t>
      </w:r>
      <w:r w:rsidR="00490C34">
        <w:rPr>
          <w:rFonts w:ascii="Times New Roman" w:hAnsi="Times New Roman" w:cs="Times New Roman"/>
          <w:sz w:val="24"/>
          <w:szCs w:val="24"/>
        </w:rPr>
        <w:t>RR</w:t>
      </w:r>
      <w:r w:rsidR="00DD308C">
        <w:rPr>
          <w:rFonts w:ascii="Times New Roman" w:hAnsi="Times New Roman" w:cs="Times New Roman"/>
          <w:sz w:val="24"/>
          <w:szCs w:val="24"/>
        </w:rPr>
        <w:t>s</w:t>
      </w:r>
      <w:r>
        <w:rPr>
          <w:rFonts w:ascii="Times New Roman" w:hAnsi="Times New Roman" w:cs="Times New Roman"/>
          <w:sz w:val="24"/>
          <w:szCs w:val="24"/>
        </w:rPr>
        <w:t>,</w:t>
      </w:r>
      <w:r w:rsidR="00E62283">
        <w:rPr>
          <w:rFonts w:ascii="Times New Roman" w:hAnsi="Times New Roman" w:cs="Times New Roman"/>
          <w:sz w:val="24"/>
          <w:szCs w:val="24"/>
        </w:rPr>
        <w:t xml:space="preserve"> and PAFs for current smoking, obesity, physical inactivity, diabetes, and depression for disability in ROI and NI.</w:t>
      </w:r>
    </w:p>
    <w:p w:rsidR="00E62283" w:rsidRDefault="00E62283" w:rsidP="00461457">
      <w:pPr>
        <w:spacing w:after="0" w:line="360" w:lineRule="auto"/>
        <w:rPr>
          <w:rFonts w:ascii="Times New Roman" w:hAnsi="Times New Roman" w:cs="Times New Roman"/>
          <w:sz w:val="24"/>
          <w:szCs w:val="24"/>
        </w:rPr>
      </w:pPr>
    </w:p>
    <w:p w:rsidR="00415D95" w:rsidRDefault="00E52111"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Overall</w:t>
      </w:r>
      <w:r w:rsidR="00415D95">
        <w:rPr>
          <w:rFonts w:ascii="Times New Roman" w:hAnsi="Times New Roman" w:cs="Times New Roman"/>
          <w:sz w:val="24"/>
          <w:szCs w:val="24"/>
        </w:rPr>
        <w:t xml:space="preserve"> prevalence for current smoking and diabetes were broadly comparable in the two </w:t>
      </w:r>
      <w:r w:rsidR="00415D95" w:rsidRPr="00873282">
        <w:rPr>
          <w:rFonts w:ascii="Times New Roman" w:hAnsi="Times New Roman" w:cs="Times New Roman"/>
          <w:sz w:val="24"/>
          <w:szCs w:val="24"/>
        </w:rPr>
        <w:t>countries</w:t>
      </w:r>
      <w:r w:rsidR="00873282">
        <w:rPr>
          <w:rFonts w:ascii="Times New Roman" w:hAnsi="Times New Roman" w:cs="Times New Roman"/>
          <w:sz w:val="24"/>
          <w:szCs w:val="24"/>
        </w:rPr>
        <w:t>,</w:t>
      </w:r>
      <w:r w:rsidR="00873282" w:rsidRPr="00873282">
        <w:rPr>
          <w:rFonts w:ascii="Times New Roman" w:hAnsi="Times New Roman" w:cs="Times New Roman"/>
          <w:sz w:val="24"/>
          <w:szCs w:val="24"/>
        </w:rPr>
        <w:t xml:space="preserve"> </w:t>
      </w:r>
      <w:r w:rsidR="00E379AD" w:rsidRPr="00873282">
        <w:rPr>
          <w:rFonts w:ascii="Times New Roman" w:hAnsi="Times New Roman" w:cs="Times New Roman"/>
          <w:sz w:val="24"/>
          <w:szCs w:val="24"/>
        </w:rPr>
        <w:t xml:space="preserve">and </w:t>
      </w:r>
      <w:r w:rsidR="00873282">
        <w:rPr>
          <w:rFonts w:ascii="Times New Roman" w:hAnsi="Times New Roman" w:cs="Times New Roman"/>
          <w:sz w:val="24"/>
          <w:szCs w:val="24"/>
        </w:rPr>
        <w:t>the results of PAF analyses indicated that the impact of these risk factors on disability was modest</w:t>
      </w:r>
      <w:r w:rsidR="00415D95" w:rsidRPr="00873282">
        <w:rPr>
          <w:rFonts w:ascii="Times New Roman" w:hAnsi="Times New Roman" w:cs="Times New Roman"/>
          <w:sz w:val="24"/>
          <w:szCs w:val="24"/>
        </w:rPr>
        <w:t>.  When analyses were</w:t>
      </w:r>
      <w:r w:rsidR="00415D95">
        <w:rPr>
          <w:rFonts w:ascii="Times New Roman" w:hAnsi="Times New Roman" w:cs="Times New Roman"/>
          <w:sz w:val="24"/>
          <w:szCs w:val="24"/>
        </w:rPr>
        <w:t xml:space="preserve"> stratified by gender, age group, and SEP, </w:t>
      </w:r>
      <w:r>
        <w:rPr>
          <w:rFonts w:ascii="Times New Roman" w:hAnsi="Times New Roman" w:cs="Times New Roman"/>
          <w:sz w:val="24"/>
          <w:szCs w:val="24"/>
        </w:rPr>
        <w:t>s</w:t>
      </w:r>
      <w:r w:rsidR="00415D95">
        <w:rPr>
          <w:rFonts w:ascii="Times New Roman" w:hAnsi="Times New Roman" w:cs="Times New Roman"/>
          <w:sz w:val="24"/>
          <w:szCs w:val="24"/>
        </w:rPr>
        <w:t>ome variations were evident</w:t>
      </w:r>
      <w:r w:rsidR="00167F5C">
        <w:rPr>
          <w:rFonts w:ascii="Times New Roman" w:hAnsi="Times New Roman" w:cs="Times New Roman"/>
          <w:sz w:val="24"/>
          <w:szCs w:val="24"/>
        </w:rPr>
        <w:t xml:space="preserve">: </w:t>
      </w:r>
      <w:r w:rsidR="00415D95">
        <w:rPr>
          <w:rFonts w:ascii="Times New Roman" w:hAnsi="Times New Roman" w:cs="Times New Roman"/>
          <w:sz w:val="24"/>
          <w:szCs w:val="24"/>
        </w:rPr>
        <w:t xml:space="preserve">PAFs for current smoking in women were higher than for men in both countries; PAFs for current smokers aged 65 and over were lower in both countries than </w:t>
      </w:r>
      <w:r w:rsidR="00167F5C">
        <w:rPr>
          <w:rFonts w:ascii="Times New Roman" w:hAnsi="Times New Roman" w:cs="Times New Roman"/>
          <w:sz w:val="24"/>
          <w:szCs w:val="24"/>
        </w:rPr>
        <w:t>for those aged 50-64, while PAFs were higher for those with diabetes aged 65 and over</w:t>
      </w:r>
      <w:r>
        <w:rPr>
          <w:rFonts w:ascii="Times New Roman" w:hAnsi="Times New Roman" w:cs="Times New Roman"/>
          <w:sz w:val="24"/>
          <w:szCs w:val="24"/>
        </w:rPr>
        <w:t xml:space="preserve"> than those aged 50-64</w:t>
      </w:r>
      <w:r w:rsidR="00167F5C">
        <w:rPr>
          <w:rFonts w:ascii="Times New Roman" w:hAnsi="Times New Roman" w:cs="Times New Roman"/>
          <w:sz w:val="24"/>
          <w:szCs w:val="24"/>
        </w:rPr>
        <w:t>; and there was a gradient of increasing prevalence of current smoking with increasing deprivation (</w:t>
      </w:r>
      <w:r w:rsidR="004A2BD7">
        <w:rPr>
          <w:rFonts w:ascii="Times New Roman" w:hAnsi="Times New Roman" w:cs="Times New Roman"/>
          <w:sz w:val="24"/>
          <w:szCs w:val="24"/>
        </w:rPr>
        <w:t xml:space="preserve">lower </w:t>
      </w:r>
      <w:r w:rsidR="00167F5C">
        <w:rPr>
          <w:rFonts w:ascii="Times New Roman" w:hAnsi="Times New Roman" w:cs="Times New Roman"/>
          <w:sz w:val="24"/>
          <w:szCs w:val="24"/>
        </w:rPr>
        <w:t>SEP) for both countries, though this pattern was not evident in the PAFs which showed a counterintuitive pattern of de</w:t>
      </w:r>
      <w:r w:rsidR="0041120A">
        <w:rPr>
          <w:rFonts w:ascii="Times New Roman" w:hAnsi="Times New Roman" w:cs="Times New Roman"/>
          <w:sz w:val="24"/>
          <w:szCs w:val="24"/>
        </w:rPr>
        <w:t xml:space="preserve">creasing amounts of </w:t>
      </w:r>
      <w:r w:rsidR="00167F5C">
        <w:rPr>
          <w:rFonts w:ascii="Times New Roman" w:hAnsi="Times New Roman" w:cs="Times New Roman"/>
          <w:sz w:val="24"/>
          <w:szCs w:val="24"/>
        </w:rPr>
        <w:t>disability attributable to current smoking with increased levels of deprivation.</w:t>
      </w:r>
    </w:p>
    <w:p w:rsidR="0008196C" w:rsidRDefault="0008196C" w:rsidP="00461457">
      <w:pPr>
        <w:spacing w:after="0" w:line="360" w:lineRule="auto"/>
        <w:rPr>
          <w:rFonts w:ascii="Times New Roman" w:hAnsi="Times New Roman" w:cs="Times New Roman"/>
          <w:sz w:val="24"/>
          <w:szCs w:val="24"/>
        </w:rPr>
      </w:pPr>
    </w:p>
    <w:p w:rsidR="00FC3917" w:rsidRPr="00FC3917" w:rsidRDefault="00FC3917" w:rsidP="004725E1">
      <w:pPr>
        <w:rPr>
          <w:rFonts w:ascii="Times New Roman" w:hAnsi="Times New Roman" w:cs="Times New Roman"/>
          <w:b/>
          <w:sz w:val="24"/>
          <w:szCs w:val="24"/>
        </w:rPr>
      </w:pPr>
      <w:r w:rsidRPr="00FC3917">
        <w:rPr>
          <w:rFonts w:ascii="Times New Roman" w:hAnsi="Times New Roman" w:cs="Times New Roman"/>
          <w:b/>
          <w:sz w:val="24"/>
          <w:szCs w:val="24"/>
        </w:rPr>
        <w:t>Table 3. Prevalence, relative risks (95% CIs), and population attributable fractions (PAFs) for all CHD risk factors stratified by age group, gender, and socioeconomic position (SEP)</w:t>
      </w:r>
    </w:p>
    <w:tbl>
      <w:tblPr>
        <w:tblW w:w="8946" w:type="dxa"/>
        <w:tblInd w:w="93" w:type="dxa"/>
        <w:tblLook w:val="04A0"/>
      </w:tblPr>
      <w:tblGrid>
        <w:gridCol w:w="1433"/>
        <w:gridCol w:w="1559"/>
        <w:gridCol w:w="977"/>
        <w:gridCol w:w="960"/>
        <w:gridCol w:w="2032"/>
        <w:gridCol w:w="960"/>
        <w:gridCol w:w="1025"/>
      </w:tblGrid>
      <w:tr w:rsidR="00FC3917" w:rsidRPr="00FC3917" w:rsidTr="00461457">
        <w:trPr>
          <w:trHeight w:val="794"/>
        </w:trPr>
        <w:tc>
          <w:tcPr>
            <w:tcW w:w="1433" w:type="dxa"/>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977" w:type="dxa"/>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TILDA</w:t>
            </w:r>
          </w:p>
        </w:tc>
        <w:tc>
          <w:tcPr>
            <w:tcW w:w="960" w:type="dxa"/>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NIHS</w:t>
            </w:r>
          </w:p>
        </w:tc>
        <w:tc>
          <w:tcPr>
            <w:tcW w:w="2032" w:type="dxa"/>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All-Ireland RRs</w:t>
            </w:r>
          </w:p>
        </w:tc>
        <w:tc>
          <w:tcPr>
            <w:tcW w:w="1985" w:type="dxa"/>
            <w:gridSpan w:val="2"/>
            <w:tcBorders>
              <w:top w:val="single" w:sz="8" w:space="0" w:color="auto"/>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PAFs using all-Ireland RRs &amp; country-specific prevalence</w:t>
            </w:r>
          </w:p>
        </w:tc>
      </w:tr>
      <w:tr w:rsidR="00FC3917" w:rsidRPr="00FC3917" w:rsidTr="00461457">
        <w:trPr>
          <w:trHeight w:val="39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Risk factor</w:t>
            </w: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RR (95% CIs)</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ROI</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b/>
                <w:bCs/>
                <w:sz w:val="24"/>
                <w:szCs w:val="24"/>
                <w:lang w:val="en-GB"/>
              </w:rPr>
            </w:pPr>
            <w:r w:rsidRPr="00FC3917">
              <w:rPr>
                <w:rFonts w:ascii="Times New Roman" w:hAnsi="Times New Roman" w:cs="Times New Roman"/>
                <w:b/>
                <w:bCs/>
                <w:sz w:val="24"/>
                <w:szCs w:val="24"/>
              </w:rPr>
              <w:t>NI</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Current</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All</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19.8</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18.0</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1.36 (1.05, 1.75)</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6.6</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6.1</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smoking</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Men</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19.7</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19.6</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1.19 (0.82, 1.71)</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3.6</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3.6</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Women</w:t>
            </w:r>
          </w:p>
        </w:tc>
        <w:tc>
          <w:tcPr>
            <w:tcW w:w="977"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19.8</w:t>
            </w:r>
          </w:p>
        </w:tc>
        <w:tc>
          <w:tcPr>
            <w:tcW w:w="960"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17.1</w:t>
            </w:r>
          </w:p>
        </w:tc>
        <w:tc>
          <w:tcPr>
            <w:tcW w:w="2032"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1.54 (1.08, 2.19)</w:t>
            </w:r>
          </w:p>
        </w:tc>
        <w:tc>
          <w:tcPr>
            <w:tcW w:w="960"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9.6</w:t>
            </w:r>
          </w:p>
        </w:tc>
        <w:tc>
          <w:tcPr>
            <w:tcW w:w="1025"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8.4</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50-64</w:t>
            </w:r>
          </w:p>
        </w:tc>
        <w:tc>
          <w:tcPr>
            <w:tcW w:w="977"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23.2</w:t>
            </w:r>
          </w:p>
        </w:tc>
        <w:tc>
          <w:tcPr>
            <w:tcW w:w="960"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23.9</w:t>
            </w:r>
          </w:p>
        </w:tc>
        <w:tc>
          <w:tcPr>
            <w:tcW w:w="2032"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1.39 (0.92, 2.10)</w:t>
            </w:r>
          </w:p>
        </w:tc>
        <w:tc>
          <w:tcPr>
            <w:tcW w:w="960"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8.3</w:t>
            </w:r>
          </w:p>
        </w:tc>
        <w:tc>
          <w:tcPr>
            <w:tcW w:w="1025" w:type="dxa"/>
            <w:tcBorders>
              <w:top w:val="single" w:sz="4" w:space="0" w:color="auto"/>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8.6</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977"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14.9</w:t>
            </w:r>
          </w:p>
        </w:tc>
        <w:tc>
          <w:tcPr>
            <w:tcW w:w="960"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11.3</w:t>
            </w:r>
          </w:p>
        </w:tc>
        <w:tc>
          <w:tcPr>
            <w:tcW w:w="2032"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1.26 (0.90, 1.75)</w:t>
            </w:r>
          </w:p>
        </w:tc>
        <w:tc>
          <w:tcPr>
            <w:tcW w:w="960"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3.7</w:t>
            </w:r>
          </w:p>
        </w:tc>
        <w:tc>
          <w:tcPr>
            <w:tcW w:w="1025" w:type="dxa"/>
            <w:tcBorders>
              <w:top w:val="nil"/>
              <w:left w:val="nil"/>
              <w:bottom w:val="single" w:sz="4"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2.8</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High SEP</w:t>
            </w:r>
          </w:p>
        </w:tc>
        <w:tc>
          <w:tcPr>
            <w:tcW w:w="977"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13.0</w:t>
            </w:r>
          </w:p>
        </w:tc>
        <w:tc>
          <w:tcPr>
            <w:tcW w:w="960"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11.1</w:t>
            </w:r>
          </w:p>
        </w:tc>
        <w:tc>
          <w:tcPr>
            <w:tcW w:w="2032"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1.60 (0.74, 3.47)</w:t>
            </w:r>
          </w:p>
        </w:tc>
        <w:tc>
          <w:tcPr>
            <w:tcW w:w="960"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7.3</w:t>
            </w:r>
          </w:p>
        </w:tc>
        <w:tc>
          <w:tcPr>
            <w:tcW w:w="1025" w:type="dxa"/>
            <w:tcBorders>
              <w:top w:val="single" w:sz="4" w:space="0" w:color="auto"/>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6.3</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Medium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14.5</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13.3</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1.35 (0.61, 3.00)</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4.8</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4.5</w:t>
            </w:r>
          </w:p>
        </w:tc>
      </w:tr>
      <w:tr w:rsidR="00FC3917" w:rsidRPr="00FC3917" w:rsidTr="00461457">
        <w:trPr>
          <w:trHeight w:val="22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Low SEP</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20.5</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22.9</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1.09 (0.75, 1.58)</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Obesity</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All</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35.2</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28.2</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1.45 (1.08, 1.96)</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13.8</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11.3</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Men</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38.0</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32.4</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1.52 (0.97, 2.37)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16.4</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14.4</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Women</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32.6</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25.3</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1.36 (0.90, 2.06)</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10.6</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8.4</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50-64</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34.5</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28.6</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2.11 (1.12, 3.97)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27.7</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24.1</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36.3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27.7</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1.29 (0.92, 1.81)</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9.5</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7.4</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High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31.7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25.0</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1.49 (0.72, 3.09)</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13.4</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10.8</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Medium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29.8</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24.8</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0.64 (0.30, 1.39)</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iCs/>
                <w:sz w:val="24"/>
                <w:szCs w:val="24"/>
                <w:lang w:val="en-GB"/>
              </w:rPr>
            </w:pPr>
            <w:r w:rsidRPr="00FC3917">
              <w:rPr>
                <w:rFonts w:ascii="Times New Roman" w:hAnsi="Times New Roman" w:cs="Times New Roman"/>
                <w:iCs/>
                <w:sz w:val="24"/>
                <w:szCs w:val="24"/>
                <w:lang w:val="en-GB"/>
              </w:rPr>
              <w:t>*</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iCs/>
                <w:sz w:val="24"/>
                <w:szCs w:val="24"/>
                <w:lang w:val="en-GB"/>
              </w:rPr>
            </w:pPr>
            <w:r w:rsidRPr="00FC3917">
              <w:rPr>
                <w:rFonts w:ascii="Times New Roman" w:hAnsi="Times New Roman" w:cs="Times New Roman"/>
                <w:iCs/>
                <w:sz w:val="24"/>
                <w:szCs w:val="24"/>
                <w:lang w:val="en-GB"/>
              </w:rPr>
              <w:t>*</w:t>
            </w:r>
          </w:p>
        </w:tc>
      </w:tr>
      <w:tr w:rsidR="00FC3917" w:rsidRPr="00FC3917" w:rsidTr="00461457">
        <w:trPr>
          <w:trHeight w:val="22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Low SEP</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36.0</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31.4</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2.05 (1.27, 3.33)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27.5</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24.9</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Physical</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All</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31.3</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54.8</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2.21 (1.83, 2.67)</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27.5</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39.9</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inactivity</w:t>
            </w: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Men</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24.9</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50.7</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Women</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37.2</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57.4</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2.49 (1.85, 3.33)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35.6</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46.0</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50-64</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25.8</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46.8</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2.26 (1.60, 3.17)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24.5</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37.0</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39.1</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64.0</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2.20 (1.76, 2.76)</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32.0</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43.5</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High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28.9</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49.8</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2.58 (1.61, 4.14)</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31.4</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44.0</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Medium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28.8</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50.7</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2.47 (1.43, 4.27)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29.8</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42.8</w:t>
            </w:r>
          </w:p>
        </w:tc>
      </w:tr>
      <w:tr w:rsidR="00FC3917" w:rsidRPr="00FC3917" w:rsidTr="00461457">
        <w:trPr>
          <w:trHeight w:val="22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Low SEP</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27.9</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58.8</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2.14 (1.63, 2.83)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24.2</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40.2</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Diabetes</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All</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8.1</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9.6</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1.81 (1.47, 2.23)</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6.2</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7.2</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Men</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11.4</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Women</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6.6</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8.4</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1.58 (1.12, 2.24)</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3.7</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4.7</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50-64</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6.1</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7.0</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1.91 (1.23, 2.99)</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5.2</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6.0</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11.0</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12.5</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1.77 (1.39, 2.25)</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7.8</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8.8</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High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6.7</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8.3</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1.99 (1.16, 3.41)</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6.2</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7.6</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Medium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5.8</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8.4</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2.21 (1.23, 3.94)</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9.2</w:t>
            </w:r>
          </w:p>
        </w:tc>
      </w:tr>
      <w:tr w:rsidR="00FC3917" w:rsidRPr="00FC3917" w:rsidTr="00461457">
        <w:trPr>
          <w:trHeight w:val="22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Low SEP</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9.6</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10.7</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1.74 (1.30, 2.33)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6.6</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7.3</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Depression</w:t>
            </w:r>
          </w:p>
        </w:tc>
        <w:tc>
          <w:tcPr>
            <w:tcW w:w="1559"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lang w:val="en-GB"/>
              </w:rPr>
              <w:t>All</w:t>
            </w:r>
          </w:p>
        </w:tc>
        <w:tc>
          <w:tcPr>
            <w:tcW w:w="977"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10.2</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17.6</w:t>
            </w:r>
          </w:p>
        </w:tc>
        <w:tc>
          <w:tcPr>
            <w:tcW w:w="2032"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2.92 (2.35, 3.63)</w:t>
            </w:r>
          </w:p>
        </w:tc>
        <w:tc>
          <w:tcPr>
            <w:tcW w:w="960"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16.3</w:t>
            </w:r>
          </w:p>
        </w:tc>
        <w:tc>
          <w:tcPr>
            <w:tcW w:w="1025" w:type="dxa"/>
            <w:tcBorders>
              <w:top w:val="nil"/>
              <w:left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25.2</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Men</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7.4</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16.2</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3.19 (2.36, 4.32)</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14.0</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26.2</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Women</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12.7</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18.4</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2.64 (1.93, 3.61)</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17.3</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23.3</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50-64</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11.0</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22.7</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4.07 (2.68, 6.18)</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25.2</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41.1</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65+</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9.0</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11.7</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2.60 (2.00, 3.37)</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12.6</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15.7</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High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5.6</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15.1</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1.80 (0.89, 3.63)</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4.3</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10.8</w:t>
            </w:r>
          </w:p>
        </w:tc>
      </w:tr>
      <w:tr w:rsidR="00FC3917" w:rsidRPr="00FC3917" w:rsidTr="00461457">
        <w:trPr>
          <w:trHeight w:val="227"/>
        </w:trPr>
        <w:tc>
          <w:tcPr>
            <w:tcW w:w="1433"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Medium SEP</w:t>
            </w:r>
          </w:p>
        </w:tc>
        <w:tc>
          <w:tcPr>
            <w:tcW w:w="977"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6.6</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17.1</w:t>
            </w:r>
          </w:p>
        </w:tc>
        <w:tc>
          <w:tcPr>
            <w:tcW w:w="2032"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1.94 (0.95, 3.95)</w:t>
            </w:r>
          </w:p>
        </w:tc>
        <w:tc>
          <w:tcPr>
            <w:tcW w:w="960"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5.9</w:t>
            </w:r>
          </w:p>
        </w:tc>
        <w:tc>
          <w:tcPr>
            <w:tcW w:w="1025" w:type="dxa"/>
            <w:tcBorders>
              <w:top w:val="nil"/>
              <w:left w:val="nil"/>
              <w:bottom w:val="nil"/>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13.8</w:t>
            </w:r>
          </w:p>
        </w:tc>
      </w:tr>
      <w:tr w:rsidR="00FC3917" w:rsidRPr="00FC3917" w:rsidTr="00461457">
        <w:trPr>
          <w:trHeight w:val="227"/>
        </w:trPr>
        <w:tc>
          <w:tcPr>
            <w:tcW w:w="1433"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p>
        </w:tc>
        <w:tc>
          <w:tcPr>
            <w:tcW w:w="1559"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Low SEP</w:t>
            </w:r>
          </w:p>
        </w:tc>
        <w:tc>
          <w:tcPr>
            <w:tcW w:w="977"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8.5</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18.6</w:t>
            </w:r>
          </w:p>
        </w:tc>
        <w:tc>
          <w:tcPr>
            <w:tcW w:w="2032"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3.64 (2.69, 4.93)</w:t>
            </w:r>
          </w:p>
        </w:tc>
        <w:tc>
          <w:tcPr>
            <w:tcW w:w="960"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18.4</w:t>
            </w:r>
          </w:p>
        </w:tc>
        <w:tc>
          <w:tcPr>
            <w:tcW w:w="1025" w:type="dxa"/>
            <w:tcBorders>
              <w:top w:val="nil"/>
              <w:left w:val="nil"/>
              <w:bottom w:val="single" w:sz="8" w:space="0" w:color="auto"/>
              <w:right w:val="nil"/>
            </w:tcBorders>
            <w:shd w:val="clear" w:color="auto" w:fill="auto"/>
            <w:noWrap/>
            <w:vAlign w:val="center"/>
            <w:hideMark/>
          </w:tcPr>
          <w:p w:rsidR="00FC3917" w:rsidRPr="00FC3917" w:rsidRDefault="00FC3917" w:rsidP="004725E1">
            <w:pPr>
              <w:spacing w:after="0"/>
              <w:rPr>
                <w:rFonts w:ascii="Times New Roman" w:hAnsi="Times New Roman" w:cs="Times New Roman"/>
                <w:sz w:val="24"/>
                <w:szCs w:val="24"/>
                <w:lang w:val="en-GB"/>
              </w:rPr>
            </w:pPr>
            <w:r w:rsidRPr="00FC3917">
              <w:rPr>
                <w:rFonts w:ascii="Times New Roman" w:hAnsi="Times New Roman" w:cs="Times New Roman"/>
                <w:sz w:val="24"/>
                <w:szCs w:val="24"/>
              </w:rPr>
              <w:t>32.9</w:t>
            </w:r>
          </w:p>
        </w:tc>
      </w:tr>
    </w:tbl>
    <w:p w:rsidR="00FC3917" w:rsidRPr="00FC3917" w:rsidRDefault="00FC3917" w:rsidP="004725E1">
      <w:pPr>
        <w:spacing w:after="0"/>
        <w:rPr>
          <w:rFonts w:ascii="Times New Roman" w:hAnsi="Times New Roman" w:cs="Times New Roman"/>
          <w:sz w:val="24"/>
          <w:szCs w:val="24"/>
        </w:rPr>
      </w:pPr>
      <w:r w:rsidRPr="00FC3917">
        <w:rPr>
          <w:rFonts w:ascii="Times New Roman" w:hAnsi="Times New Roman" w:cs="Times New Roman"/>
          <w:sz w:val="24"/>
          <w:szCs w:val="24"/>
        </w:rPr>
        <w:t>RRs: relative risks; CIs: confidence intervals; PAFs: population attributable fractions; LLTI: limiting long-term illness; ROI: Republic of Ireland; NI: Northern Ireland; SEP: socioeconomic position</w:t>
      </w:r>
    </w:p>
    <w:p w:rsidR="00FC3917" w:rsidRPr="00FC3917" w:rsidRDefault="00FC3917" w:rsidP="004725E1">
      <w:pPr>
        <w:spacing w:after="0"/>
        <w:rPr>
          <w:rFonts w:ascii="Times New Roman" w:hAnsi="Times New Roman" w:cs="Times New Roman"/>
          <w:sz w:val="24"/>
          <w:szCs w:val="24"/>
        </w:rPr>
      </w:pPr>
      <w:r w:rsidRPr="00FC3917">
        <w:rPr>
          <w:rFonts w:ascii="Times New Roman" w:hAnsi="Times New Roman" w:cs="Times New Roman"/>
          <w:sz w:val="24"/>
          <w:szCs w:val="24"/>
        </w:rPr>
        <w:t>* PAF estimates indicated no risk (i.e., RR&lt;1.0)</w:t>
      </w:r>
    </w:p>
    <w:p w:rsidR="00FC3917" w:rsidRPr="00FC3917" w:rsidRDefault="00FC3917" w:rsidP="004725E1">
      <w:pPr>
        <w:spacing w:after="0"/>
        <w:rPr>
          <w:rFonts w:ascii="Times New Roman" w:hAnsi="Times New Roman" w:cs="Times New Roman"/>
          <w:sz w:val="24"/>
          <w:szCs w:val="24"/>
        </w:rPr>
      </w:pPr>
      <w:r w:rsidRPr="00FC3917">
        <w:rPr>
          <w:rFonts w:ascii="Times New Roman" w:hAnsi="Times New Roman" w:cs="Times New Roman"/>
          <w:sz w:val="24"/>
          <w:szCs w:val="24"/>
        </w:rPr>
        <w:t>** Unable to estimate RR as regression model failed to converge</w:t>
      </w:r>
    </w:p>
    <w:p w:rsidR="00FC3917" w:rsidRDefault="00FC3917" w:rsidP="00461457">
      <w:pPr>
        <w:spacing w:after="0" w:line="360" w:lineRule="auto"/>
        <w:rPr>
          <w:rFonts w:ascii="Times New Roman" w:hAnsi="Times New Roman" w:cs="Times New Roman"/>
          <w:sz w:val="24"/>
          <w:szCs w:val="24"/>
        </w:rPr>
      </w:pPr>
    </w:p>
    <w:p w:rsidR="004725E1" w:rsidRDefault="004725E1" w:rsidP="00461457">
      <w:pPr>
        <w:spacing w:after="0" w:line="360" w:lineRule="auto"/>
        <w:rPr>
          <w:rFonts w:ascii="Times New Roman" w:hAnsi="Times New Roman" w:cs="Times New Roman"/>
          <w:sz w:val="24"/>
          <w:szCs w:val="24"/>
        </w:rPr>
      </w:pPr>
    </w:p>
    <w:p w:rsidR="003A7534" w:rsidRDefault="003A7534"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The prevalence of obesity was notably higher in ROI than in NI and this pattern was consistent across gender, age group, and SEP.  However, this higher prevalence did not equate to markedly higher PAFs for NI.  For both countries, variation was evident when the analyses were stratified by gender, age group, and SEP: men had higher prevalence and PAFs for obesity than women, those aged 50-64 had higher PAFs than those aged 65 and over; and those in the low SEP group had higher prevalence and twice the amount of disability attributable to obesity compared to respondents in the high SEP group.</w:t>
      </w:r>
    </w:p>
    <w:p w:rsidR="003A7534" w:rsidRDefault="003A7534" w:rsidP="00461457">
      <w:pPr>
        <w:spacing w:after="0" w:line="360" w:lineRule="auto"/>
        <w:rPr>
          <w:rFonts w:ascii="Times New Roman" w:hAnsi="Times New Roman" w:cs="Times New Roman"/>
          <w:sz w:val="24"/>
          <w:szCs w:val="24"/>
        </w:rPr>
      </w:pPr>
    </w:p>
    <w:p w:rsidR="003A7534" w:rsidRDefault="003A7534"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The prevalence and PAFs for both physical inactivity and depression were notably higher for NI than for ROI, in many instances being more than twice as high.  This pattern was consistent for both risk factors when the analyses were stratified by gender, age group, and SEP.  In both countries</w:t>
      </w:r>
      <w:r w:rsidR="001D2A6E">
        <w:rPr>
          <w:rFonts w:ascii="Times New Roman" w:hAnsi="Times New Roman" w:cs="Times New Roman"/>
          <w:sz w:val="24"/>
          <w:szCs w:val="24"/>
        </w:rPr>
        <w:t>,</w:t>
      </w:r>
      <w:r>
        <w:rPr>
          <w:rFonts w:ascii="Times New Roman" w:hAnsi="Times New Roman" w:cs="Times New Roman"/>
          <w:sz w:val="24"/>
          <w:szCs w:val="24"/>
        </w:rPr>
        <w:t xml:space="preserve"> those aged 65 and over had a higher prevalence of physical inactivity but a lower prevalence of depression compared to those aged 50-64.  The prevalence of physical inactivity in those in the low SEP group in NI was markedly higher than for those in the high SEP group.  There were clear SEP gradients for depression in both countries, with between 3 and 4 times (for NI and ROI respectively) the amount of disability being attributable to depression for those in the low SEP group compared to those in the high SEP group.</w:t>
      </w:r>
    </w:p>
    <w:p w:rsidR="00E62283" w:rsidRDefault="00E62283" w:rsidP="00461457">
      <w:pPr>
        <w:spacing w:after="0" w:line="360" w:lineRule="auto"/>
        <w:rPr>
          <w:rFonts w:ascii="Times New Roman" w:hAnsi="Times New Roman" w:cs="Times New Roman"/>
          <w:sz w:val="24"/>
          <w:szCs w:val="24"/>
        </w:rPr>
      </w:pPr>
    </w:p>
    <w:p w:rsidR="00E62283" w:rsidRPr="008477B2" w:rsidRDefault="00E62283" w:rsidP="00461457">
      <w:pPr>
        <w:spacing w:after="0" w:line="360" w:lineRule="auto"/>
        <w:rPr>
          <w:rFonts w:ascii="Times New Roman" w:hAnsi="Times New Roman" w:cs="Times New Roman"/>
          <w:b/>
          <w:sz w:val="28"/>
          <w:szCs w:val="28"/>
        </w:rPr>
      </w:pPr>
      <w:bookmarkStart w:id="5" w:name="_Toc403421093"/>
      <w:r w:rsidRPr="008477B2">
        <w:rPr>
          <w:rFonts w:ascii="Times New Roman" w:hAnsi="Times New Roman" w:cs="Times New Roman"/>
          <w:b/>
          <w:sz w:val="28"/>
          <w:szCs w:val="28"/>
        </w:rPr>
        <w:t>Discussion</w:t>
      </w:r>
      <w:bookmarkEnd w:id="5"/>
    </w:p>
    <w:p w:rsidR="00D45D3A" w:rsidRDefault="00464737" w:rsidP="004614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present study had two main objectives: firstly, t</w:t>
      </w:r>
      <w:r w:rsidRPr="00152733">
        <w:rPr>
          <w:rFonts w:ascii="Times New Roman" w:hAnsi="Times New Roman" w:cs="Times New Roman"/>
          <w:sz w:val="24"/>
          <w:szCs w:val="24"/>
          <w:lang w:val="en-US"/>
        </w:rPr>
        <w:t>o assess the extent to which disability associated with CHD varies by age, gender</w:t>
      </w:r>
      <w:r>
        <w:rPr>
          <w:rFonts w:ascii="Times New Roman" w:hAnsi="Times New Roman" w:cs="Times New Roman"/>
          <w:sz w:val="24"/>
          <w:szCs w:val="24"/>
          <w:lang w:val="en-US"/>
        </w:rPr>
        <w:t>,</w:t>
      </w:r>
      <w:r w:rsidR="00CD643E">
        <w:rPr>
          <w:rFonts w:ascii="Times New Roman" w:hAnsi="Times New Roman" w:cs="Times New Roman"/>
          <w:sz w:val="24"/>
          <w:szCs w:val="24"/>
          <w:lang w:val="en-US"/>
        </w:rPr>
        <w:t xml:space="preserve"> and SEP</w:t>
      </w:r>
      <w:r w:rsidRPr="00152733">
        <w:rPr>
          <w:rFonts w:ascii="Times New Roman" w:hAnsi="Times New Roman" w:cs="Times New Roman"/>
          <w:sz w:val="24"/>
          <w:szCs w:val="24"/>
          <w:lang w:val="en-US"/>
        </w:rPr>
        <w:t xml:space="preserve"> in ROI and NI</w:t>
      </w:r>
      <w:r>
        <w:rPr>
          <w:rFonts w:ascii="Times New Roman" w:hAnsi="Times New Roman" w:cs="Times New Roman"/>
          <w:sz w:val="24"/>
          <w:szCs w:val="24"/>
          <w:lang w:val="en-US"/>
        </w:rPr>
        <w:t>; and secondly, t</w:t>
      </w:r>
      <w:r w:rsidRPr="00152733">
        <w:rPr>
          <w:rFonts w:ascii="Times New Roman" w:hAnsi="Times New Roman" w:cs="Times New Roman"/>
          <w:sz w:val="24"/>
          <w:szCs w:val="24"/>
          <w:lang w:val="en-US"/>
        </w:rPr>
        <w:t>o compare the contrib</w:t>
      </w:r>
      <w:r w:rsidR="00CD643E">
        <w:rPr>
          <w:rFonts w:ascii="Times New Roman" w:hAnsi="Times New Roman" w:cs="Times New Roman"/>
          <w:sz w:val="24"/>
          <w:szCs w:val="24"/>
          <w:lang w:val="en-US"/>
        </w:rPr>
        <w:t xml:space="preserve">ution of </w:t>
      </w:r>
      <w:r w:rsidRPr="00152733">
        <w:rPr>
          <w:rFonts w:ascii="Times New Roman" w:hAnsi="Times New Roman" w:cs="Times New Roman"/>
          <w:sz w:val="24"/>
          <w:szCs w:val="24"/>
          <w:lang w:val="en-US"/>
        </w:rPr>
        <w:t xml:space="preserve">smoking, diabetes, obesity, physical inactivity, and depression to </w:t>
      </w:r>
      <w:r>
        <w:rPr>
          <w:rFonts w:ascii="Times New Roman" w:hAnsi="Times New Roman" w:cs="Times New Roman"/>
          <w:sz w:val="24"/>
          <w:szCs w:val="24"/>
          <w:lang w:val="en-US"/>
        </w:rPr>
        <w:t>CHD-related</w:t>
      </w:r>
      <w:r w:rsidRPr="00152733">
        <w:rPr>
          <w:rFonts w:ascii="Times New Roman" w:hAnsi="Times New Roman" w:cs="Times New Roman"/>
          <w:sz w:val="24"/>
          <w:szCs w:val="24"/>
          <w:lang w:val="en-US"/>
        </w:rPr>
        <w:t xml:space="preserve"> disability</w:t>
      </w:r>
      <w:r>
        <w:rPr>
          <w:rFonts w:ascii="Times New Roman" w:hAnsi="Times New Roman" w:cs="Times New Roman"/>
          <w:sz w:val="24"/>
          <w:szCs w:val="24"/>
          <w:lang w:val="en-US"/>
        </w:rPr>
        <w:t xml:space="preserve"> in models that were stratified by age, gender, and SEP</w:t>
      </w:r>
      <w:r w:rsidRPr="00152733">
        <w:rPr>
          <w:rFonts w:ascii="Times New Roman" w:hAnsi="Times New Roman" w:cs="Times New Roman"/>
          <w:sz w:val="24"/>
          <w:szCs w:val="24"/>
          <w:lang w:val="en-US"/>
        </w:rPr>
        <w:t>.</w:t>
      </w:r>
    </w:p>
    <w:p w:rsidR="00D45D3A" w:rsidRDefault="00D45D3A" w:rsidP="00461457">
      <w:pPr>
        <w:spacing w:after="0" w:line="360" w:lineRule="auto"/>
        <w:rPr>
          <w:rFonts w:ascii="Times New Roman" w:hAnsi="Times New Roman" w:cs="Times New Roman"/>
          <w:sz w:val="24"/>
          <w:szCs w:val="24"/>
          <w:lang w:val="en-US"/>
        </w:rPr>
      </w:pPr>
    </w:p>
    <w:p w:rsidR="00411035" w:rsidRPr="00411035"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The findings showed that disability was significantly higher in NI</w:t>
      </w:r>
      <w:r w:rsidR="00C0620A">
        <w:rPr>
          <w:rFonts w:ascii="Times New Roman" w:hAnsi="Times New Roman" w:cs="Times New Roman"/>
          <w:sz w:val="24"/>
          <w:szCs w:val="24"/>
          <w:lang w:val="en-US"/>
        </w:rPr>
        <w:t xml:space="preserve"> than in ROI</w:t>
      </w:r>
      <w:r>
        <w:rPr>
          <w:rFonts w:ascii="Times New Roman" w:hAnsi="Times New Roman" w:cs="Times New Roman"/>
          <w:sz w:val="24"/>
          <w:szCs w:val="24"/>
          <w:lang w:val="en-US"/>
        </w:rPr>
        <w:t xml:space="preserve">, and that this difference across the jurisdictions was consistent across gender, all age groups, and all SEP groups.  </w:t>
      </w:r>
      <w:r w:rsidR="001F1536">
        <w:rPr>
          <w:rFonts w:ascii="Times New Roman" w:hAnsi="Times New Roman" w:cs="Times New Roman"/>
          <w:sz w:val="24"/>
          <w:szCs w:val="24"/>
          <w:lang w:val="en-US"/>
        </w:rPr>
        <w:t>At a population level</w:t>
      </w:r>
      <w:r w:rsidR="001F1536">
        <w:rPr>
          <w:rFonts w:ascii="Times New Roman" w:hAnsi="Times New Roman" w:cs="Times New Roman"/>
          <w:sz w:val="24"/>
          <w:szCs w:val="24"/>
        </w:rPr>
        <w:t xml:space="preserve"> it has been</w:t>
      </w:r>
      <w:r w:rsidRPr="00C2164C">
        <w:rPr>
          <w:rFonts w:ascii="Times New Roman" w:hAnsi="Times New Roman" w:cs="Times New Roman"/>
          <w:sz w:val="24"/>
          <w:szCs w:val="24"/>
        </w:rPr>
        <w:t xml:space="preserve"> suggested that the higher </w:t>
      </w:r>
      <w:r w:rsidR="003C5BD3">
        <w:rPr>
          <w:rFonts w:ascii="Times New Roman" w:hAnsi="Times New Roman" w:cs="Times New Roman"/>
          <w:sz w:val="24"/>
          <w:szCs w:val="24"/>
        </w:rPr>
        <w:t xml:space="preserve">prevalence </w:t>
      </w:r>
      <w:r w:rsidRPr="00C2164C">
        <w:rPr>
          <w:rFonts w:ascii="Times New Roman" w:hAnsi="Times New Roman" w:cs="Times New Roman"/>
          <w:sz w:val="24"/>
          <w:szCs w:val="24"/>
        </w:rPr>
        <w:t>of CHD in NI compared to ROI can be explained by the higher proportion of older people in NI</w:t>
      </w:r>
      <w:r>
        <w:rPr>
          <w:rFonts w:ascii="Times New Roman" w:hAnsi="Times New Roman" w:cs="Times New Roman"/>
          <w:sz w:val="24"/>
          <w:szCs w:val="24"/>
        </w:rPr>
        <w:t xml:space="preserve"> and </w:t>
      </w:r>
      <w:r w:rsidRPr="00C2164C">
        <w:rPr>
          <w:rFonts w:ascii="Times New Roman" w:hAnsi="Times New Roman" w:cs="Times New Roman"/>
          <w:sz w:val="24"/>
          <w:szCs w:val="24"/>
        </w:rPr>
        <w:t>differences in socioeconomic patterning in the two countries</w:t>
      </w:r>
      <w:r w:rsidR="00382E95">
        <w:rPr>
          <w:rFonts w:ascii="Times New Roman" w:hAnsi="Times New Roman" w:cs="Times New Roman"/>
          <w:sz w:val="24"/>
          <w:szCs w:val="24"/>
        </w:rPr>
        <w:t xml:space="preserve"> (</w:t>
      </w:r>
      <w:proofErr w:type="spellStart"/>
      <w:r w:rsidR="00382E95">
        <w:rPr>
          <w:rFonts w:ascii="Times New Roman" w:hAnsi="Times New Roman" w:cs="Times New Roman"/>
          <w:sz w:val="24"/>
          <w:szCs w:val="24"/>
        </w:rPr>
        <w:t>Balanda</w:t>
      </w:r>
      <w:proofErr w:type="spellEnd"/>
      <w:r w:rsidR="00382E95">
        <w:rPr>
          <w:rFonts w:ascii="Times New Roman" w:hAnsi="Times New Roman" w:cs="Times New Roman"/>
          <w:sz w:val="24"/>
          <w:szCs w:val="24"/>
        </w:rPr>
        <w:t xml:space="preserve"> et al., 2010)</w:t>
      </w:r>
      <w:r w:rsidRPr="00C2164C">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4A2BD7">
        <w:rPr>
          <w:rFonts w:ascii="Times New Roman" w:hAnsi="Times New Roman" w:cs="Times New Roman"/>
          <w:sz w:val="24"/>
          <w:szCs w:val="24"/>
        </w:rPr>
        <w:t xml:space="preserve">data </w:t>
      </w:r>
      <w:r>
        <w:rPr>
          <w:rFonts w:ascii="Times New Roman" w:hAnsi="Times New Roman" w:cs="Times New Roman"/>
          <w:sz w:val="24"/>
          <w:szCs w:val="24"/>
        </w:rPr>
        <w:t>showed</w:t>
      </w:r>
      <w:r w:rsidRPr="00C2164C">
        <w:rPr>
          <w:rFonts w:ascii="Times New Roman" w:hAnsi="Times New Roman" w:cs="Times New Roman"/>
          <w:sz w:val="24"/>
          <w:szCs w:val="24"/>
        </w:rPr>
        <w:t xml:space="preserve"> a higher proportion of </w:t>
      </w:r>
      <w:r>
        <w:rPr>
          <w:rFonts w:ascii="Times New Roman" w:hAnsi="Times New Roman" w:cs="Times New Roman"/>
          <w:sz w:val="24"/>
          <w:szCs w:val="24"/>
        </w:rPr>
        <w:t xml:space="preserve">respondents aged 80 and over and a lower ratio of </w:t>
      </w:r>
      <w:proofErr w:type="spellStart"/>
      <w:r>
        <w:rPr>
          <w:rFonts w:ascii="Times New Roman" w:hAnsi="Times New Roman" w:cs="Times New Roman"/>
          <w:sz w:val="24"/>
          <w:szCs w:val="24"/>
        </w:rPr>
        <w:t>men</w:t>
      </w:r>
      <w:proofErr w:type="gramStart"/>
      <w:r>
        <w:rPr>
          <w:rFonts w:ascii="Times New Roman" w:hAnsi="Times New Roman" w:cs="Times New Roman"/>
          <w:sz w:val="24"/>
          <w:szCs w:val="24"/>
        </w:rPr>
        <w:t>:women</w:t>
      </w:r>
      <w:proofErr w:type="spellEnd"/>
      <w:proofErr w:type="gramEnd"/>
      <w:r>
        <w:rPr>
          <w:rFonts w:ascii="Times New Roman" w:hAnsi="Times New Roman" w:cs="Times New Roman"/>
          <w:sz w:val="24"/>
          <w:szCs w:val="24"/>
        </w:rPr>
        <w:t xml:space="preserve"> in NIHS than in TILDA, reflecting the NI population profile.</w:t>
      </w:r>
      <w:r w:rsidR="003D549D">
        <w:rPr>
          <w:rFonts w:ascii="Times New Roman" w:hAnsi="Times New Roman" w:cs="Times New Roman"/>
          <w:sz w:val="24"/>
          <w:szCs w:val="24"/>
          <w:lang w:val="en-US"/>
        </w:rPr>
        <w:t xml:space="preserve">  </w:t>
      </w:r>
      <w:r w:rsidR="00787707">
        <w:rPr>
          <w:rFonts w:ascii="Times New Roman" w:hAnsi="Times New Roman" w:cs="Times New Roman"/>
          <w:sz w:val="24"/>
          <w:szCs w:val="24"/>
          <w:lang w:val="en-US"/>
        </w:rPr>
        <w:t>T</w:t>
      </w:r>
      <w:r w:rsidR="006D0941">
        <w:rPr>
          <w:rFonts w:ascii="Times New Roman" w:hAnsi="Times New Roman" w:cs="Times New Roman"/>
          <w:sz w:val="24"/>
          <w:szCs w:val="24"/>
          <w:lang w:val="en-US"/>
        </w:rPr>
        <w:t xml:space="preserve">he </w:t>
      </w:r>
      <w:r w:rsidRPr="005746B8">
        <w:rPr>
          <w:rFonts w:ascii="Times New Roman" w:hAnsi="Times New Roman" w:cs="Times New Roman"/>
          <w:sz w:val="24"/>
          <w:szCs w:val="24"/>
          <w:lang w:val="en-US"/>
        </w:rPr>
        <w:t>prevalence of disability increased with age, and this pattern was more apparent in NI</w:t>
      </w:r>
      <w:r w:rsidR="00787707">
        <w:rPr>
          <w:rFonts w:ascii="Times New Roman" w:hAnsi="Times New Roman" w:cs="Times New Roman"/>
          <w:sz w:val="24"/>
          <w:szCs w:val="24"/>
          <w:lang w:val="en-US"/>
        </w:rPr>
        <w:t>, which is unsurprising as NI has higher rates of CHD and higher proportions of older people (the latter being represented in our representative NIHS sample)</w:t>
      </w:r>
      <w:r w:rsidR="00B25DE6">
        <w:rPr>
          <w:rFonts w:ascii="Times New Roman" w:hAnsi="Times New Roman" w:cs="Times New Roman"/>
          <w:sz w:val="24"/>
          <w:szCs w:val="24"/>
          <w:lang w:val="en-US"/>
        </w:rPr>
        <w:t>.</w:t>
      </w:r>
    </w:p>
    <w:p w:rsidR="00411035" w:rsidRDefault="00411035" w:rsidP="00461457">
      <w:pPr>
        <w:spacing w:after="0" w:line="360" w:lineRule="auto"/>
        <w:rPr>
          <w:rFonts w:ascii="Times New Roman" w:hAnsi="Times New Roman" w:cs="Times New Roman"/>
          <w:sz w:val="24"/>
          <w:szCs w:val="24"/>
          <w:lang w:val="en-US"/>
        </w:rPr>
      </w:pPr>
    </w:p>
    <w:p w:rsidR="00B42CC9" w:rsidRDefault="00E62283" w:rsidP="00461457">
      <w:pPr>
        <w:spacing w:after="0" w:line="360" w:lineRule="auto"/>
        <w:rPr>
          <w:rFonts w:ascii="Times New Roman" w:hAnsi="Times New Roman" w:cs="Times New Roman"/>
          <w:sz w:val="24"/>
          <w:szCs w:val="24"/>
          <w:lang w:val="en-US"/>
        </w:rPr>
      </w:pPr>
      <w:r w:rsidRPr="005746B8">
        <w:rPr>
          <w:rFonts w:ascii="Times New Roman" w:hAnsi="Times New Roman" w:cs="Times New Roman"/>
          <w:sz w:val="24"/>
          <w:szCs w:val="24"/>
          <w:lang w:val="en-US"/>
        </w:rPr>
        <w:t xml:space="preserve">There was no evidence of a </w:t>
      </w:r>
      <w:r w:rsidR="004A2BD7">
        <w:rPr>
          <w:rFonts w:ascii="Times New Roman" w:hAnsi="Times New Roman" w:cs="Times New Roman"/>
          <w:sz w:val="24"/>
          <w:szCs w:val="24"/>
          <w:lang w:val="en-US"/>
        </w:rPr>
        <w:t xml:space="preserve">clear-cut </w:t>
      </w:r>
      <w:r w:rsidRPr="005746B8">
        <w:rPr>
          <w:rFonts w:ascii="Times New Roman" w:hAnsi="Times New Roman" w:cs="Times New Roman"/>
          <w:sz w:val="24"/>
          <w:szCs w:val="24"/>
          <w:lang w:val="en-US"/>
        </w:rPr>
        <w:t>social gradient in the</w:t>
      </w:r>
      <w:r>
        <w:rPr>
          <w:rFonts w:ascii="Times New Roman" w:hAnsi="Times New Roman" w:cs="Times New Roman"/>
          <w:sz w:val="24"/>
          <w:szCs w:val="24"/>
          <w:lang w:val="en-US"/>
        </w:rPr>
        <w:t xml:space="preserve"> prevalence of disability in either ROI or NI; however, in both countries the prevalence of disability was highest in the low</w:t>
      </w:r>
      <w:r w:rsidR="004A2BD7">
        <w:rPr>
          <w:rFonts w:ascii="Times New Roman" w:hAnsi="Times New Roman" w:cs="Times New Roman"/>
          <w:sz w:val="24"/>
          <w:szCs w:val="24"/>
          <w:lang w:val="en-US"/>
        </w:rPr>
        <w:t>est</w:t>
      </w:r>
      <w:r>
        <w:rPr>
          <w:rFonts w:ascii="Times New Roman" w:hAnsi="Times New Roman" w:cs="Times New Roman"/>
          <w:sz w:val="24"/>
          <w:szCs w:val="24"/>
          <w:lang w:val="en-US"/>
        </w:rPr>
        <w:t xml:space="preserve"> SEP group, followed by the high</w:t>
      </w:r>
      <w:r w:rsidR="004A2BD7">
        <w:rPr>
          <w:rFonts w:ascii="Times New Roman" w:hAnsi="Times New Roman" w:cs="Times New Roman"/>
          <w:sz w:val="24"/>
          <w:szCs w:val="24"/>
          <w:lang w:val="en-US"/>
        </w:rPr>
        <w:t>est</w:t>
      </w:r>
      <w:r>
        <w:rPr>
          <w:rFonts w:ascii="Times New Roman" w:hAnsi="Times New Roman" w:cs="Times New Roman"/>
          <w:sz w:val="24"/>
          <w:szCs w:val="24"/>
          <w:lang w:val="en-US"/>
        </w:rPr>
        <w:t xml:space="preserve"> SEP group, with the medium SEP group having the lowest prevalence of disability.</w:t>
      </w:r>
      <w:r w:rsidR="00BC70C7">
        <w:rPr>
          <w:rFonts w:ascii="Times New Roman" w:hAnsi="Times New Roman" w:cs="Times New Roman"/>
          <w:sz w:val="24"/>
          <w:szCs w:val="24"/>
          <w:lang w:val="en-US"/>
        </w:rPr>
        <w:t xml:space="preserve">  This finding supports numerous studies that demonstrate the impact of i</w:t>
      </w:r>
      <w:r w:rsidR="008D05CE">
        <w:rPr>
          <w:rFonts w:ascii="Times New Roman" w:hAnsi="Times New Roman" w:cs="Times New Roman"/>
          <w:sz w:val="24"/>
          <w:szCs w:val="24"/>
          <w:lang w:val="en-US"/>
        </w:rPr>
        <w:t>nequalities on health outcomes</w:t>
      </w:r>
      <w:r w:rsidR="00382E95">
        <w:rPr>
          <w:rFonts w:ascii="Times New Roman" w:hAnsi="Times New Roman" w:cs="Times New Roman"/>
          <w:sz w:val="24"/>
          <w:szCs w:val="24"/>
          <w:lang w:val="en-US"/>
        </w:rPr>
        <w:t xml:space="preserve"> (</w:t>
      </w:r>
      <w:proofErr w:type="spellStart"/>
      <w:r w:rsidR="00382E95">
        <w:rPr>
          <w:rFonts w:ascii="Times New Roman" w:hAnsi="Times New Roman" w:cs="Times New Roman"/>
          <w:sz w:val="24"/>
          <w:szCs w:val="24"/>
          <w:lang w:val="en-US"/>
        </w:rPr>
        <w:t>Balanda</w:t>
      </w:r>
      <w:proofErr w:type="spellEnd"/>
      <w:r w:rsidR="00382E95">
        <w:rPr>
          <w:rFonts w:ascii="Times New Roman" w:hAnsi="Times New Roman" w:cs="Times New Roman"/>
          <w:sz w:val="24"/>
          <w:szCs w:val="24"/>
          <w:lang w:val="en-US"/>
        </w:rPr>
        <w:t xml:space="preserve"> et al., 2010; Beauchamp </w:t>
      </w:r>
      <w:r w:rsidR="00382E95" w:rsidRPr="00EE186D">
        <w:rPr>
          <w:rFonts w:ascii="Times New Roman" w:hAnsi="Times New Roman" w:cs="Times New Roman"/>
          <w:sz w:val="24"/>
          <w:szCs w:val="24"/>
          <w:lang w:val="en-US"/>
        </w:rPr>
        <w:t xml:space="preserve">et al., 2010; </w:t>
      </w:r>
      <w:proofErr w:type="spellStart"/>
      <w:r w:rsidR="00382E95" w:rsidRPr="00EE186D">
        <w:rPr>
          <w:rFonts w:ascii="Times New Roman" w:hAnsi="Times New Roman" w:cs="Times New Roman"/>
          <w:sz w:val="24"/>
          <w:szCs w:val="24"/>
        </w:rPr>
        <w:t>Bajekal</w:t>
      </w:r>
      <w:proofErr w:type="spellEnd"/>
      <w:r w:rsidR="00382E95" w:rsidRPr="00EE186D">
        <w:rPr>
          <w:rFonts w:ascii="Times New Roman" w:hAnsi="Times New Roman" w:cs="Times New Roman"/>
          <w:sz w:val="24"/>
          <w:szCs w:val="24"/>
        </w:rPr>
        <w:t xml:space="preserve"> </w:t>
      </w:r>
      <w:r w:rsidR="00382E95" w:rsidRPr="004E62A0">
        <w:rPr>
          <w:rFonts w:ascii="Times New Roman" w:hAnsi="Times New Roman" w:cs="Times New Roman"/>
          <w:sz w:val="24"/>
          <w:szCs w:val="24"/>
        </w:rPr>
        <w:t>et al</w:t>
      </w:r>
      <w:r w:rsidR="004E62A0">
        <w:rPr>
          <w:rFonts w:ascii="Times New Roman" w:hAnsi="Times New Roman" w:cs="Times New Roman"/>
          <w:sz w:val="24"/>
          <w:szCs w:val="24"/>
        </w:rPr>
        <w:t>.</w:t>
      </w:r>
      <w:r w:rsidR="00382E95" w:rsidRPr="00EE186D">
        <w:rPr>
          <w:rFonts w:ascii="Times New Roman" w:hAnsi="Times New Roman" w:cs="Times New Roman"/>
          <w:sz w:val="24"/>
          <w:szCs w:val="24"/>
        </w:rPr>
        <w:t xml:space="preserve">, 2013; </w:t>
      </w:r>
      <w:r w:rsidR="00382E95" w:rsidRPr="00EE186D">
        <w:rPr>
          <w:rFonts w:ascii="Times New Roman" w:hAnsi="Times New Roman" w:cs="Times New Roman"/>
          <w:sz w:val="24"/>
          <w:szCs w:val="24"/>
          <w:lang w:val="en-US"/>
        </w:rPr>
        <w:t>Sacker, Head, &amp; Barley, 2008)</w:t>
      </w:r>
      <w:r w:rsidR="008D05CE" w:rsidRPr="00EE186D">
        <w:rPr>
          <w:rFonts w:ascii="Times New Roman" w:hAnsi="Times New Roman" w:cs="Times New Roman"/>
          <w:sz w:val="24"/>
          <w:szCs w:val="24"/>
          <w:lang w:val="en-US"/>
        </w:rPr>
        <w:t>,</w:t>
      </w:r>
      <w:r w:rsidR="00BC70C7">
        <w:rPr>
          <w:rFonts w:ascii="Times New Roman" w:hAnsi="Times New Roman" w:cs="Times New Roman"/>
          <w:sz w:val="24"/>
          <w:szCs w:val="24"/>
          <w:lang w:val="en-US"/>
        </w:rPr>
        <w:t xml:space="preserve"> but the absence of a linear trend across SEPs </w:t>
      </w:r>
      <w:proofErr w:type="spellStart"/>
      <w:r w:rsidR="00BC70C7">
        <w:rPr>
          <w:rFonts w:ascii="Times New Roman" w:hAnsi="Times New Roman" w:cs="Times New Roman"/>
          <w:sz w:val="24"/>
          <w:szCs w:val="24"/>
          <w:lang w:val="en-US"/>
        </w:rPr>
        <w:t>emphasi</w:t>
      </w:r>
      <w:r w:rsidR="004874D1">
        <w:rPr>
          <w:rFonts w:ascii="Times New Roman" w:hAnsi="Times New Roman" w:cs="Times New Roman"/>
          <w:sz w:val="24"/>
          <w:szCs w:val="24"/>
          <w:lang w:val="en-US"/>
        </w:rPr>
        <w:t>s</w:t>
      </w:r>
      <w:r w:rsidR="00BC70C7">
        <w:rPr>
          <w:rFonts w:ascii="Times New Roman" w:hAnsi="Times New Roman" w:cs="Times New Roman"/>
          <w:sz w:val="24"/>
          <w:szCs w:val="24"/>
          <w:lang w:val="en-US"/>
        </w:rPr>
        <w:t>es</w:t>
      </w:r>
      <w:proofErr w:type="spellEnd"/>
      <w:r w:rsidR="00BC70C7">
        <w:rPr>
          <w:rFonts w:ascii="Times New Roman" w:hAnsi="Times New Roman" w:cs="Times New Roman"/>
          <w:sz w:val="24"/>
          <w:szCs w:val="24"/>
          <w:lang w:val="en-US"/>
        </w:rPr>
        <w:t xml:space="preserve"> the need to go beyond the traditional explanations that are invoked for the </w:t>
      </w:r>
      <w:r w:rsidR="00490C34">
        <w:rPr>
          <w:rFonts w:ascii="Times New Roman" w:hAnsi="Times New Roman" w:cs="Times New Roman"/>
          <w:sz w:val="24"/>
          <w:szCs w:val="24"/>
          <w:lang w:val="en-US"/>
        </w:rPr>
        <w:t>type</w:t>
      </w:r>
      <w:r w:rsidR="00BC70C7">
        <w:rPr>
          <w:rFonts w:ascii="Times New Roman" w:hAnsi="Times New Roman" w:cs="Times New Roman"/>
          <w:sz w:val="24"/>
          <w:szCs w:val="24"/>
          <w:lang w:val="en-US"/>
        </w:rPr>
        <w:t xml:space="preserve"> of social patterning of health outcomes that are more often observed.  </w:t>
      </w:r>
      <w:r w:rsidR="00B42CC9">
        <w:rPr>
          <w:rFonts w:ascii="Times New Roman" w:hAnsi="Times New Roman" w:cs="Times New Roman"/>
          <w:sz w:val="24"/>
          <w:szCs w:val="24"/>
          <w:lang w:val="en-US"/>
        </w:rPr>
        <w:t>Given the seriousness of CHD as a health condition, and the cross-sectional nature of the present study, it is possible that we are seeing evidence of</w:t>
      </w:r>
      <w:r w:rsidR="0035509E">
        <w:rPr>
          <w:rFonts w:ascii="Times New Roman" w:hAnsi="Times New Roman" w:cs="Times New Roman"/>
          <w:sz w:val="24"/>
          <w:szCs w:val="24"/>
          <w:lang w:val="en-US"/>
        </w:rPr>
        <w:t xml:space="preserve"> survivor bias</w:t>
      </w:r>
      <w:r w:rsidR="00B42CC9">
        <w:rPr>
          <w:rFonts w:ascii="Times New Roman" w:hAnsi="Times New Roman" w:cs="Times New Roman"/>
          <w:sz w:val="24"/>
          <w:szCs w:val="24"/>
          <w:lang w:val="en-US"/>
        </w:rPr>
        <w:t xml:space="preserve"> (i.e., prevalence of disability is lower in the middle SEP group because those with more serious CHD</w:t>
      </w:r>
      <w:r w:rsidR="00787707">
        <w:rPr>
          <w:rFonts w:ascii="Times New Roman" w:hAnsi="Times New Roman" w:cs="Times New Roman"/>
          <w:sz w:val="24"/>
          <w:szCs w:val="24"/>
          <w:lang w:val="en-US"/>
        </w:rPr>
        <w:t xml:space="preserve"> in the lower SEP groups</w:t>
      </w:r>
      <w:r w:rsidR="00B42CC9">
        <w:rPr>
          <w:rFonts w:ascii="Times New Roman" w:hAnsi="Times New Roman" w:cs="Times New Roman"/>
          <w:sz w:val="24"/>
          <w:szCs w:val="24"/>
          <w:lang w:val="en-US"/>
        </w:rPr>
        <w:t xml:space="preserve"> have not survived).</w:t>
      </w:r>
    </w:p>
    <w:p w:rsidR="00B25DE6" w:rsidRDefault="00B25DE6" w:rsidP="00461457">
      <w:pPr>
        <w:spacing w:after="0" w:line="360" w:lineRule="auto"/>
        <w:rPr>
          <w:rFonts w:ascii="Times New Roman" w:hAnsi="Times New Roman" w:cs="Times New Roman"/>
          <w:sz w:val="24"/>
          <w:szCs w:val="24"/>
          <w:lang w:val="en-US"/>
        </w:rPr>
      </w:pPr>
    </w:p>
    <w:p w:rsidR="00454A25"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Findings indicated few, if any, country di</w:t>
      </w:r>
      <w:r w:rsidR="000D16E0">
        <w:rPr>
          <w:rFonts w:ascii="Times New Roman" w:hAnsi="Times New Roman" w:cs="Times New Roman"/>
          <w:sz w:val="24"/>
          <w:szCs w:val="24"/>
          <w:lang w:val="en-US"/>
        </w:rPr>
        <w:t>fferences in smoking</w:t>
      </w:r>
      <w:r w:rsidR="000A6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diabetes – both countries had similar prevalence of these risk factors overall and </w:t>
      </w:r>
      <w:r w:rsidR="00402685">
        <w:rPr>
          <w:rFonts w:ascii="Times New Roman" w:hAnsi="Times New Roman" w:cs="Times New Roman"/>
          <w:sz w:val="24"/>
          <w:szCs w:val="24"/>
          <w:lang w:val="en-US"/>
        </w:rPr>
        <w:t>when stratified</w:t>
      </w:r>
      <w:r>
        <w:rPr>
          <w:rFonts w:ascii="Times New Roman" w:hAnsi="Times New Roman" w:cs="Times New Roman"/>
          <w:sz w:val="24"/>
          <w:szCs w:val="24"/>
          <w:lang w:val="en-US"/>
        </w:rPr>
        <w:t xml:space="preserve"> by gender, age group, and SEP group.  </w:t>
      </w:r>
      <w:r w:rsidR="00964FE8">
        <w:rPr>
          <w:rFonts w:ascii="Times New Roman" w:hAnsi="Times New Roman" w:cs="Times New Roman"/>
          <w:sz w:val="24"/>
          <w:szCs w:val="24"/>
        </w:rPr>
        <w:t xml:space="preserve">However, </w:t>
      </w:r>
      <w:r w:rsidR="006D0941">
        <w:rPr>
          <w:rFonts w:ascii="Times New Roman" w:hAnsi="Times New Roman" w:cs="Times New Roman"/>
          <w:sz w:val="24"/>
          <w:szCs w:val="24"/>
        </w:rPr>
        <w:t xml:space="preserve">the </w:t>
      </w:r>
      <w:r>
        <w:rPr>
          <w:rFonts w:ascii="Times New Roman" w:hAnsi="Times New Roman" w:cs="Times New Roman"/>
          <w:sz w:val="24"/>
          <w:szCs w:val="24"/>
        </w:rPr>
        <w:t xml:space="preserve">use of the 50-64 and 65 </w:t>
      </w:r>
      <w:r w:rsidR="00905C04">
        <w:rPr>
          <w:rFonts w:ascii="Times New Roman" w:hAnsi="Times New Roman" w:cs="Times New Roman"/>
          <w:sz w:val="24"/>
          <w:szCs w:val="24"/>
        </w:rPr>
        <w:t xml:space="preserve">years </w:t>
      </w:r>
      <w:r>
        <w:rPr>
          <w:rFonts w:ascii="Times New Roman" w:hAnsi="Times New Roman" w:cs="Times New Roman"/>
          <w:sz w:val="24"/>
          <w:szCs w:val="24"/>
        </w:rPr>
        <w:t xml:space="preserve">and over age bands </w:t>
      </w:r>
      <w:r w:rsidRPr="008F660E">
        <w:rPr>
          <w:rFonts w:ascii="Times New Roman" w:hAnsi="Times New Roman" w:cs="Times New Roman"/>
          <w:sz w:val="24"/>
          <w:szCs w:val="24"/>
        </w:rPr>
        <w:t xml:space="preserve">obscured country-specific differences in current smoking </w:t>
      </w:r>
      <w:r>
        <w:rPr>
          <w:rFonts w:ascii="Times New Roman" w:hAnsi="Times New Roman" w:cs="Times New Roman"/>
          <w:sz w:val="24"/>
          <w:szCs w:val="24"/>
        </w:rPr>
        <w:t>that became evident among th</w:t>
      </w:r>
      <w:r w:rsidR="00100524">
        <w:rPr>
          <w:rFonts w:ascii="Times New Roman" w:hAnsi="Times New Roman" w:cs="Times New Roman"/>
          <w:sz w:val="24"/>
          <w:szCs w:val="24"/>
        </w:rPr>
        <w:t>ose aged 75 and over and 80 years and over</w:t>
      </w:r>
      <w:r>
        <w:rPr>
          <w:rFonts w:ascii="Times New Roman" w:hAnsi="Times New Roman" w:cs="Times New Roman"/>
          <w:sz w:val="24"/>
          <w:szCs w:val="24"/>
        </w:rPr>
        <w:t xml:space="preserve"> when disaggregated</w:t>
      </w:r>
      <w:r w:rsidRPr="008F660E">
        <w:rPr>
          <w:rFonts w:ascii="Times New Roman" w:hAnsi="Times New Roman" w:cs="Times New Roman"/>
          <w:sz w:val="24"/>
          <w:szCs w:val="24"/>
        </w:rPr>
        <w:t>.  Although each of these age groups, in both countries, had the lowest prevalence rates for current smoking compared to the younger age groups, in each case the prevalence rates fo</w:t>
      </w:r>
      <w:r>
        <w:rPr>
          <w:rFonts w:ascii="Times New Roman" w:hAnsi="Times New Roman" w:cs="Times New Roman"/>
          <w:sz w:val="24"/>
          <w:szCs w:val="24"/>
        </w:rPr>
        <w:t xml:space="preserve">r ROI were double those of NI.  </w:t>
      </w:r>
      <w:r w:rsidR="00454A25">
        <w:rPr>
          <w:rFonts w:ascii="Times New Roman" w:hAnsi="Times New Roman" w:cs="Times New Roman"/>
          <w:sz w:val="24"/>
          <w:szCs w:val="24"/>
        </w:rPr>
        <w:t>There are country-level differences in public health strategies to encourage smoking cessation which may explain the higher smoking prevalence in ROI compared to NI which has been observed in the present study,  and other studies.  For example, there are a range of free smoking cessation services available to smokers in NI, including face-to-face pre- and post-quit services, with follow-up over 4 weeks of non-smoking, and access to counselling services.  Additionally, nicotine replacement therapy and prescription drugs to support cessation are freely available via community-based pharmacies and GP services.  Smoking cessation services in ROI are not as comprehensive as in NI, and NRT is only freely available to select high-risk groups and those who do not pay prescription charges.</w:t>
      </w:r>
    </w:p>
    <w:p w:rsidR="0034473A" w:rsidRDefault="0034473A" w:rsidP="00461457">
      <w:pPr>
        <w:spacing w:after="0" w:line="360" w:lineRule="auto"/>
        <w:rPr>
          <w:rFonts w:ascii="Times New Roman" w:hAnsi="Times New Roman" w:cs="Times New Roman"/>
          <w:sz w:val="24"/>
          <w:szCs w:val="24"/>
        </w:rPr>
      </w:pPr>
    </w:p>
    <w:p w:rsidR="00E62283"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Furthermore, the PAFs </w:t>
      </w:r>
      <w:r w:rsidRPr="008F660E">
        <w:rPr>
          <w:rFonts w:ascii="Times New Roman" w:hAnsi="Times New Roman" w:cs="Times New Roman"/>
          <w:sz w:val="24"/>
          <w:szCs w:val="24"/>
        </w:rPr>
        <w:t>suggest tha</w:t>
      </w:r>
      <w:r>
        <w:rPr>
          <w:rFonts w:ascii="Times New Roman" w:hAnsi="Times New Roman" w:cs="Times New Roman"/>
          <w:sz w:val="24"/>
          <w:szCs w:val="24"/>
        </w:rPr>
        <w:t xml:space="preserve">t whilst </w:t>
      </w:r>
      <w:r w:rsidR="00490C34">
        <w:rPr>
          <w:rFonts w:ascii="Times New Roman" w:hAnsi="Times New Roman" w:cs="Times New Roman"/>
          <w:sz w:val="24"/>
          <w:szCs w:val="24"/>
        </w:rPr>
        <w:t>current smoking was a</w:t>
      </w:r>
      <w:r w:rsidRPr="008F660E">
        <w:rPr>
          <w:rFonts w:ascii="Times New Roman" w:hAnsi="Times New Roman" w:cs="Times New Roman"/>
          <w:sz w:val="24"/>
          <w:szCs w:val="24"/>
        </w:rPr>
        <w:t xml:space="preserve"> risk factor</w:t>
      </w:r>
      <w:r w:rsidR="0041120A">
        <w:rPr>
          <w:rFonts w:ascii="Times New Roman" w:hAnsi="Times New Roman" w:cs="Times New Roman"/>
          <w:sz w:val="24"/>
          <w:szCs w:val="24"/>
        </w:rPr>
        <w:t xml:space="preserve"> for</w:t>
      </w:r>
      <w:r w:rsidRPr="008F660E">
        <w:rPr>
          <w:rFonts w:ascii="Times New Roman" w:hAnsi="Times New Roman" w:cs="Times New Roman"/>
          <w:sz w:val="24"/>
          <w:szCs w:val="24"/>
        </w:rPr>
        <w:t xml:space="preserve"> disability for both </w:t>
      </w:r>
      <w:r w:rsidR="00100524">
        <w:rPr>
          <w:rFonts w:ascii="Times New Roman" w:hAnsi="Times New Roman" w:cs="Times New Roman"/>
          <w:sz w:val="24"/>
          <w:szCs w:val="24"/>
        </w:rPr>
        <w:t xml:space="preserve">men and women </w:t>
      </w:r>
      <w:r>
        <w:rPr>
          <w:rFonts w:ascii="Times New Roman" w:hAnsi="Times New Roman" w:cs="Times New Roman"/>
          <w:sz w:val="24"/>
          <w:szCs w:val="24"/>
        </w:rPr>
        <w:t>aged 50 and over, the contribution for women was greater</w:t>
      </w:r>
      <w:r w:rsidR="000A69C0">
        <w:rPr>
          <w:rFonts w:ascii="Times New Roman" w:hAnsi="Times New Roman" w:cs="Times New Roman"/>
          <w:sz w:val="24"/>
          <w:szCs w:val="24"/>
        </w:rPr>
        <w:t xml:space="preserve"> </w:t>
      </w:r>
      <w:r w:rsidR="00931CDC">
        <w:rPr>
          <w:rFonts w:ascii="Times New Roman" w:hAnsi="Times New Roman" w:cs="Times New Roman"/>
          <w:sz w:val="24"/>
          <w:szCs w:val="24"/>
        </w:rPr>
        <w:t>in both countries</w:t>
      </w:r>
      <w:r>
        <w:rPr>
          <w:rFonts w:ascii="Times New Roman" w:hAnsi="Times New Roman" w:cs="Times New Roman"/>
          <w:sz w:val="24"/>
          <w:szCs w:val="24"/>
        </w:rPr>
        <w:t xml:space="preserve">.  These </w:t>
      </w:r>
      <w:r w:rsidRPr="00EE186D">
        <w:rPr>
          <w:rFonts w:ascii="Times New Roman" w:hAnsi="Times New Roman" w:cs="Times New Roman"/>
          <w:sz w:val="24"/>
          <w:szCs w:val="24"/>
        </w:rPr>
        <w:t xml:space="preserve">findings are contrary to those of </w:t>
      </w:r>
      <w:r w:rsidR="0091455C" w:rsidRPr="00EE186D">
        <w:rPr>
          <w:rFonts w:ascii="Times New Roman" w:hAnsi="Times New Roman" w:cs="Times New Roman"/>
          <w:sz w:val="24"/>
          <w:szCs w:val="24"/>
        </w:rPr>
        <w:t>some previous studies</w:t>
      </w:r>
      <w:r w:rsidR="00382E95" w:rsidRPr="00EE186D">
        <w:rPr>
          <w:rFonts w:ascii="Times New Roman" w:hAnsi="Times New Roman" w:cs="Times New Roman"/>
          <w:sz w:val="24"/>
          <w:szCs w:val="24"/>
        </w:rPr>
        <w:t xml:space="preserve"> (Matthews </w:t>
      </w:r>
      <w:r w:rsidR="00382E95" w:rsidRPr="004E62A0">
        <w:rPr>
          <w:rFonts w:ascii="Times New Roman" w:hAnsi="Times New Roman" w:cs="Times New Roman"/>
          <w:sz w:val="24"/>
          <w:szCs w:val="24"/>
        </w:rPr>
        <w:t>et al</w:t>
      </w:r>
      <w:r w:rsidR="00382E95" w:rsidRPr="00EE186D">
        <w:rPr>
          <w:rFonts w:ascii="Times New Roman" w:hAnsi="Times New Roman" w:cs="Times New Roman"/>
          <w:sz w:val="24"/>
          <w:szCs w:val="24"/>
        </w:rPr>
        <w:t>.,</w:t>
      </w:r>
      <w:r w:rsidR="00382E95">
        <w:rPr>
          <w:rFonts w:ascii="Times New Roman" w:hAnsi="Times New Roman" w:cs="Times New Roman"/>
          <w:sz w:val="24"/>
          <w:szCs w:val="24"/>
        </w:rPr>
        <w:t xml:space="preserve"> 1989; </w:t>
      </w:r>
      <w:proofErr w:type="spellStart"/>
      <w:r w:rsidR="00382E95" w:rsidRPr="0048469A">
        <w:rPr>
          <w:rFonts w:ascii="Times New Roman" w:hAnsi="Times New Roman" w:cs="Times New Roman"/>
          <w:sz w:val="24"/>
          <w:szCs w:val="24"/>
        </w:rPr>
        <w:t>Bonithon</w:t>
      </w:r>
      <w:proofErr w:type="spellEnd"/>
      <w:r w:rsidR="00382E95" w:rsidRPr="0048469A">
        <w:rPr>
          <w:rFonts w:ascii="Times New Roman" w:hAnsi="Times New Roman" w:cs="Times New Roman"/>
          <w:sz w:val="24"/>
          <w:szCs w:val="24"/>
        </w:rPr>
        <w:t>-Kopp</w:t>
      </w:r>
      <w:r w:rsidR="00382E95">
        <w:rPr>
          <w:rFonts w:ascii="Times New Roman" w:hAnsi="Times New Roman" w:cs="Times New Roman"/>
          <w:sz w:val="24"/>
          <w:szCs w:val="24"/>
        </w:rPr>
        <w:t xml:space="preserve">, </w:t>
      </w:r>
      <w:proofErr w:type="spellStart"/>
      <w:r w:rsidR="00382E95" w:rsidRPr="0048469A">
        <w:rPr>
          <w:rFonts w:ascii="Times New Roman" w:hAnsi="Times New Roman" w:cs="Times New Roman"/>
          <w:sz w:val="24"/>
          <w:szCs w:val="24"/>
        </w:rPr>
        <w:t>Scarabin</w:t>
      </w:r>
      <w:proofErr w:type="spellEnd"/>
      <w:r w:rsidR="00382E95">
        <w:rPr>
          <w:rFonts w:ascii="Times New Roman" w:hAnsi="Times New Roman" w:cs="Times New Roman"/>
          <w:sz w:val="24"/>
          <w:szCs w:val="24"/>
        </w:rPr>
        <w:t>,</w:t>
      </w:r>
      <w:r w:rsidR="00382E95" w:rsidRPr="0048469A">
        <w:rPr>
          <w:rFonts w:ascii="Times New Roman" w:hAnsi="Times New Roman" w:cs="Times New Roman"/>
          <w:sz w:val="24"/>
          <w:szCs w:val="24"/>
        </w:rPr>
        <w:t xml:space="preserve"> </w:t>
      </w:r>
      <w:proofErr w:type="spellStart"/>
      <w:r w:rsidR="00382E95" w:rsidRPr="0048469A">
        <w:rPr>
          <w:rFonts w:ascii="Times New Roman" w:hAnsi="Times New Roman" w:cs="Times New Roman"/>
          <w:sz w:val="24"/>
          <w:szCs w:val="24"/>
        </w:rPr>
        <w:t>Darne</w:t>
      </w:r>
      <w:proofErr w:type="spellEnd"/>
      <w:r w:rsidR="00382E95">
        <w:rPr>
          <w:rFonts w:ascii="Times New Roman" w:hAnsi="Times New Roman" w:cs="Times New Roman"/>
          <w:sz w:val="24"/>
          <w:szCs w:val="24"/>
        </w:rPr>
        <w:t xml:space="preserve">, </w:t>
      </w:r>
      <w:proofErr w:type="spellStart"/>
      <w:r w:rsidR="00EE186D" w:rsidRPr="0048469A">
        <w:rPr>
          <w:rFonts w:ascii="Times New Roman" w:hAnsi="Times New Roman" w:cs="Times New Roman"/>
          <w:sz w:val="24"/>
          <w:szCs w:val="24"/>
        </w:rPr>
        <w:t>Malmejak</w:t>
      </w:r>
      <w:proofErr w:type="spellEnd"/>
      <w:r w:rsidR="00EE186D">
        <w:rPr>
          <w:rFonts w:ascii="Times New Roman" w:hAnsi="Times New Roman" w:cs="Times New Roman"/>
          <w:sz w:val="24"/>
          <w:szCs w:val="24"/>
        </w:rPr>
        <w:t xml:space="preserve">, &amp; </w:t>
      </w:r>
      <w:proofErr w:type="spellStart"/>
      <w:r w:rsidR="00EE186D" w:rsidRPr="0048469A">
        <w:rPr>
          <w:rFonts w:ascii="Times New Roman" w:hAnsi="Times New Roman" w:cs="Times New Roman"/>
          <w:sz w:val="24"/>
          <w:szCs w:val="24"/>
        </w:rPr>
        <w:t>Guize</w:t>
      </w:r>
      <w:proofErr w:type="spellEnd"/>
      <w:r w:rsidR="00382E95">
        <w:rPr>
          <w:rFonts w:ascii="Times New Roman" w:hAnsi="Times New Roman" w:cs="Times New Roman"/>
          <w:sz w:val="24"/>
          <w:szCs w:val="24"/>
        </w:rPr>
        <w:t>, 1990)</w:t>
      </w:r>
      <w:r w:rsidR="00F80F8D">
        <w:rPr>
          <w:rFonts w:ascii="Times New Roman" w:hAnsi="Times New Roman" w:cs="Times New Roman"/>
          <w:sz w:val="24"/>
          <w:szCs w:val="24"/>
        </w:rPr>
        <w:t>;</w:t>
      </w:r>
      <w:r w:rsidR="00964FE8">
        <w:rPr>
          <w:rFonts w:ascii="Times New Roman" w:hAnsi="Times New Roman" w:cs="Times New Roman"/>
          <w:sz w:val="24"/>
          <w:szCs w:val="24"/>
        </w:rPr>
        <w:t xml:space="preserve"> </w:t>
      </w:r>
      <w:r w:rsidR="00F80F8D">
        <w:rPr>
          <w:rFonts w:ascii="Times New Roman" w:hAnsi="Times New Roman" w:cs="Times New Roman"/>
          <w:sz w:val="24"/>
          <w:szCs w:val="24"/>
        </w:rPr>
        <w:t xml:space="preserve">however, a recent study found </w:t>
      </w:r>
      <w:r w:rsidR="00613F1B">
        <w:rPr>
          <w:rFonts w:ascii="Times New Roman" w:hAnsi="Times New Roman" w:cs="Times New Roman"/>
          <w:sz w:val="24"/>
          <w:szCs w:val="24"/>
        </w:rPr>
        <w:t xml:space="preserve">that smoking was </w:t>
      </w:r>
      <w:r>
        <w:rPr>
          <w:rFonts w:ascii="Times New Roman" w:hAnsi="Times New Roman" w:cs="Times New Roman"/>
          <w:sz w:val="24"/>
          <w:szCs w:val="24"/>
        </w:rPr>
        <w:t>associated with earlier onset of myoca</w:t>
      </w:r>
      <w:r w:rsidR="00964FE8">
        <w:rPr>
          <w:rFonts w:ascii="Times New Roman" w:hAnsi="Times New Roman" w:cs="Times New Roman"/>
          <w:sz w:val="24"/>
          <w:szCs w:val="24"/>
        </w:rPr>
        <w:t xml:space="preserve">rdial infarction </w:t>
      </w:r>
      <w:r>
        <w:rPr>
          <w:rFonts w:ascii="Times New Roman" w:hAnsi="Times New Roman" w:cs="Times New Roman"/>
          <w:sz w:val="24"/>
          <w:szCs w:val="24"/>
        </w:rPr>
        <w:t>in women</w:t>
      </w:r>
      <w:r w:rsidR="00F80F8D">
        <w:rPr>
          <w:rFonts w:ascii="Times New Roman" w:hAnsi="Times New Roman" w:cs="Times New Roman"/>
          <w:sz w:val="24"/>
          <w:szCs w:val="24"/>
        </w:rPr>
        <w:t xml:space="preserve">, and perhaps an earlier age of onset of heart disease in women smokers allows for a longer period during which </w:t>
      </w:r>
      <w:r w:rsidR="00873282">
        <w:rPr>
          <w:rFonts w:ascii="Times New Roman" w:hAnsi="Times New Roman" w:cs="Times New Roman"/>
          <w:sz w:val="24"/>
          <w:szCs w:val="24"/>
        </w:rPr>
        <w:t xml:space="preserve">associated </w:t>
      </w:r>
      <w:r w:rsidR="00F80F8D">
        <w:rPr>
          <w:rFonts w:ascii="Times New Roman" w:hAnsi="Times New Roman" w:cs="Times New Roman"/>
          <w:sz w:val="24"/>
          <w:szCs w:val="24"/>
        </w:rPr>
        <w:t>disability may manifest</w:t>
      </w:r>
      <w:r w:rsidR="003A0B20">
        <w:rPr>
          <w:rFonts w:ascii="Times New Roman" w:hAnsi="Times New Roman" w:cs="Times New Roman"/>
          <w:sz w:val="24"/>
          <w:szCs w:val="24"/>
        </w:rPr>
        <w:t xml:space="preserve"> (</w:t>
      </w:r>
      <w:proofErr w:type="spellStart"/>
      <w:r w:rsidR="003A0B20" w:rsidRPr="005B23AA">
        <w:rPr>
          <w:rStyle w:val="cit-title"/>
          <w:rFonts w:ascii="Times New Roman" w:hAnsi="Times New Roman" w:cs="Times New Roman"/>
          <w:sz w:val="24"/>
          <w:szCs w:val="24"/>
        </w:rPr>
        <w:t>Bähler</w:t>
      </w:r>
      <w:proofErr w:type="spellEnd"/>
      <w:r w:rsidR="003A0B20">
        <w:rPr>
          <w:rStyle w:val="cit-title"/>
          <w:rFonts w:ascii="Times New Roman" w:hAnsi="Times New Roman" w:cs="Times New Roman"/>
          <w:sz w:val="24"/>
          <w:szCs w:val="24"/>
        </w:rPr>
        <w:t xml:space="preserve">, </w:t>
      </w:r>
      <w:proofErr w:type="spellStart"/>
      <w:r w:rsidR="003A0B20" w:rsidRPr="005B23AA">
        <w:rPr>
          <w:rStyle w:val="cit-title"/>
          <w:rFonts w:ascii="Times New Roman" w:hAnsi="Times New Roman" w:cs="Times New Roman"/>
          <w:sz w:val="24"/>
          <w:szCs w:val="24"/>
        </w:rPr>
        <w:t>Gutzwiller</w:t>
      </w:r>
      <w:proofErr w:type="spellEnd"/>
      <w:r w:rsidR="003A0B20">
        <w:rPr>
          <w:rStyle w:val="cit-title"/>
          <w:rFonts w:ascii="Times New Roman" w:hAnsi="Times New Roman" w:cs="Times New Roman"/>
          <w:sz w:val="24"/>
          <w:szCs w:val="24"/>
        </w:rPr>
        <w:t xml:space="preserve">, </w:t>
      </w:r>
      <w:r w:rsidR="003A0B20" w:rsidRPr="005B23AA">
        <w:rPr>
          <w:rStyle w:val="cit-title"/>
          <w:rFonts w:ascii="Times New Roman" w:hAnsi="Times New Roman" w:cs="Times New Roman"/>
          <w:sz w:val="24"/>
          <w:szCs w:val="24"/>
        </w:rPr>
        <w:t>Erne</w:t>
      </w:r>
      <w:r w:rsidR="003A0B20">
        <w:rPr>
          <w:rStyle w:val="cit-title"/>
          <w:rFonts w:ascii="Times New Roman" w:hAnsi="Times New Roman" w:cs="Times New Roman"/>
          <w:sz w:val="24"/>
          <w:szCs w:val="24"/>
        </w:rPr>
        <w:t xml:space="preserve">, </w:t>
      </w:r>
      <w:r w:rsidR="00EE186D">
        <w:rPr>
          <w:rStyle w:val="cit-title"/>
          <w:rFonts w:ascii="Times New Roman" w:hAnsi="Times New Roman" w:cs="Times New Roman"/>
          <w:sz w:val="24"/>
          <w:szCs w:val="24"/>
        </w:rPr>
        <w:t xml:space="preserve">&amp; </w:t>
      </w:r>
      <w:proofErr w:type="spellStart"/>
      <w:r w:rsidR="00EE186D">
        <w:rPr>
          <w:rStyle w:val="cit-title"/>
          <w:rFonts w:ascii="Times New Roman" w:hAnsi="Times New Roman" w:cs="Times New Roman"/>
          <w:sz w:val="24"/>
          <w:szCs w:val="24"/>
        </w:rPr>
        <w:t>Radovanovic</w:t>
      </w:r>
      <w:proofErr w:type="spellEnd"/>
      <w:r w:rsidR="003A0B20">
        <w:rPr>
          <w:rStyle w:val="cit-title"/>
          <w:rFonts w:ascii="Times New Roman" w:hAnsi="Times New Roman" w:cs="Times New Roman"/>
          <w:sz w:val="24"/>
          <w:szCs w:val="24"/>
        </w:rPr>
        <w:t>, 2012)</w:t>
      </w:r>
      <w:r w:rsidR="00334C35">
        <w:rPr>
          <w:rFonts w:ascii="Times New Roman" w:hAnsi="Times New Roman" w:cs="Times New Roman"/>
          <w:sz w:val="24"/>
          <w:szCs w:val="24"/>
        </w:rPr>
        <w:t>.</w:t>
      </w:r>
    </w:p>
    <w:p w:rsidR="00A731EA" w:rsidRDefault="00A731EA" w:rsidP="00461457">
      <w:pPr>
        <w:spacing w:after="0" w:line="360" w:lineRule="auto"/>
        <w:rPr>
          <w:rFonts w:ascii="Times New Roman" w:hAnsi="Times New Roman" w:cs="Times New Roman"/>
          <w:sz w:val="24"/>
          <w:szCs w:val="24"/>
        </w:rPr>
      </w:pPr>
    </w:p>
    <w:p w:rsidR="00E62283" w:rsidRDefault="00E62283" w:rsidP="004614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were higher levels of obesity in ROI which were reflected in the proportion of disability attributed to obesity in this country compared with NI.</w:t>
      </w:r>
      <w:r w:rsidR="00036465">
        <w:rPr>
          <w:rFonts w:ascii="Times New Roman" w:hAnsi="Times New Roman" w:cs="Times New Roman"/>
          <w:sz w:val="24"/>
          <w:szCs w:val="24"/>
          <w:lang w:val="en-US"/>
        </w:rPr>
        <w:t xml:space="preserve">  </w:t>
      </w:r>
      <w:r w:rsidR="00EA678B">
        <w:rPr>
          <w:rFonts w:ascii="Times New Roman" w:hAnsi="Times New Roman" w:cs="Times New Roman"/>
          <w:sz w:val="24"/>
          <w:szCs w:val="24"/>
          <w:lang w:val="en-US"/>
        </w:rPr>
        <w:t xml:space="preserve">This </w:t>
      </w:r>
      <w:r w:rsidR="0034473A">
        <w:rPr>
          <w:rFonts w:ascii="Times New Roman" w:hAnsi="Times New Roman" w:cs="Times New Roman"/>
          <w:sz w:val="24"/>
          <w:szCs w:val="24"/>
          <w:lang w:val="en-US"/>
        </w:rPr>
        <w:t>finding corresponds</w:t>
      </w:r>
      <w:r w:rsidR="00EA678B">
        <w:rPr>
          <w:rFonts w:ascii="Times New Roman" w:hAnsi="Times New Roman" w:cs="Times New Roman"/>
          <w:sz w:val="24"/>
          <w:szCs w:val="24"/>
          <w:lang w:val="en-US"/>
        </w:rPr>
        <w:t xml:space="preserve"> with previous studies (e.g., Ward et al.</w:t>
      </w:r>
      <w:r w:rsidR="00454A25">
        <w:rPr>
          <w:rFonts w:ascii="Times New Roman" w:hAnsi="Times New Roman" w:cs="Times New Roman"/>
          <w:sz w:val="24"/>
          <w:szCs w:val="24"/>
          <w:lang w:val="en-US"/>
        </w:rPr>
        <w:t>, 200</w:t>
      </w:r>
      <w:r w:rsidR="00FC17A3">
        <w:rPr>
          <w:rFonts w:ascii="Times New Roman" w:hAnsi="Times New Roman" w:cs="Times New Roman"/>
          <w:sz w:val="24"/>
          <w:szCs w:val="24"/>
          <w:lang w:val="en-US"/>
        </w:rPr>
        <w:t>9</w:t>
      </w:r>
      <w:r w:rsidR="00EA678B">
        <w:rPr>
          <w:rFonts w:ascii="Times New Roman" w:hAnsi="Times New Roman" w:cs="Times New Roman"/>
          <w:sz w:val="24"/>
          <w:szCs w:val="24"/>
          <w:lang w:val="en-US"/>
        </w:rPr>
        <w:t xml:space="preserve">).  </w:t>
      </w:r>
      <w:r w:rsidR="00036465" w:rsidRPr="004874D1">
        <w:rPr>
          <w:rFonts w:ascii="Times New Roman" w:hAnsi="Times New Roman" w:cs="Times New Roman"/>
          <w:sz w:val="24"/>
          <w:szCs w:val="24"/>
          <w:lang w:val="en-US"/>
        </w:rPr>
        <w:t>There were also large between-</w:t>
      </w:r>
      <w:r w:rsidRPr="004874D1">
        <w:rPr>
          <w:rFonts w:ascii="Times New Roman" w:hAnsi="Times New Roman" w:cs="Times New Roman"/>
          <w:sz w:val="24"/>
          <w:szCs w:val="24"/>
          <w:lang w:val="en-US"/>
        </w:rPr>
        <w:t xml:space="preserve">country differences for physical inactivity and depression, with NI having considerably higher rates compared to ROI, </w:t>
      </w:r>
      <w:r w:rsidR="00EA678B">
        <w:rPr>
          <w:rFonts w:ascii="Times New Roman" w:hAnsi="Times New Roman" w:cs="Times New Roman"/>
          <w:sz w:val="24"/>
          <w:szCs w:val="24"/>
          <w:lang w:val="en-US"/>
        </w:rPr>
        <w:t xml:space="preserve">which </w:t>
      </w:r>
      <w:r w:rsidR="0034473A">
        <w:rPr>
          <w:rFonts w:ascii="Times New Roman" w:hAnsi="Times New Roman" w:cs="Times New Roman"/>
          <w:sz w:val="24"/>
          <w:szCs w:val="24"/>
          <w:lang w:val="en-US"/>
        </w:rPr>
        <w:t>supports</w:t>
      </w:r>
      <w:r w:rsidR="00EA678B">
        <w:rPr>
          <w:rFonts w:ascii="Times New Roman" w:hAnsi="Times New Roman" w:cs="Times New Roman"/>
          <w:sz w:val="24"/>
          <w:szCs w:val="24"/>
          <w:lang w:val="en-US"/>
        </w:rPr>
        <w:t xml:space="preserve"> the findings of other studies (e.g., Ward et al.</w:t>
      </w:r>
      <w:r w:rsidR="00454A25">
        <w:rPr>
          <w:rFonts w:ascii="Times New Roman" w:hAnsi="Times New Roman" w:cs="Times New Roman"/>
          <w:sz w:val="24"/>
          <w:szCs w:val="24"/>
          <w:lang w:val="en-US"/>
        </w:rPr>
        <w:t>, 200</w:t>
      </w:r>
      <w:r w:rsidR="00FC17A3">
        <w:rPr>
          <w:rFonts w:ascii="Times New Roman" w:hAnsi="Times New Roman" w:cs="Times New Roman"/>
          <w:sz w:val="24"/>
          <w:szCs w:val="24"/>
          <w:lang w:val="en-US"/>
        </w:rPr>
        <w:t>9</w:t>
      </w:r>
      <w:r w:rsidR="00EA678B">
        <w:rPr>
          <w:rFonts w:ascii="Times New Roman" w:hAnsi="Times New Roman" w:cs="Times New Roman"/>
          <w:sz w:val="24"/>
          <w:szCs w:val="24"/>
          <w:lang w:val="en-US"/>
        </w:rPr>
        <w:t>; McGee et al.</w:t>
      </w:r>
      <w:r w:rsidR="00454A25">
        <w:rPr>
          <w:rFonts w:ascii="Times New Roman" w:hAnsi="Times New Roman" w:cs="Times New Roman"/>
          <w:sz w:val="24"/>
          <w:szCs w:val="24"/>
          <w:lang w:val="en-US"/>
        </w:rPr>
        <w:t>, 2005</w:t>
      </w:r>
      <w:r w:rsidR="00EA678B">
        <w:rPr>
          <w:rFonts w:ascii="Times New Roman" w:hAnsi="Times New Roman" w:cs="Times New Roman"/>
          <w:sz w:val="24"/>
          <w:szCs w:val="24"/>
          <w:lang w:val="en-US"/>
        </w:rPr>
        <w:t xml:space="preserve">).  In the present study, these </w:t>
      </w:r>
      <w:r w:rsidRPr="004874D1">
        <w:rPr>
          <w:rFonts w:ascii="Times New Roman" w:hAnsi="Times New Roman" w:cs="Times New Roman"/>
          <w:sz w:val="24"/>
          <w:szCs w:val="24"/>
          <w:lang w:val="en-US"/>
        </w:rPr>
        <w:t>diff</w:t>
      </w:r>
      <w:r w:rsidR="00036465" w:rsidRPr="004874D1">
        <w:rPr>
          <w:rFonts w:ascii="Times New Roman" w:hAnsi="Times New Roman" w:cs="Times New Roman"/>
          <w:sz w:val="24"/>
          <w:szCs w:val="24"/>
          <w:lang w:val="en-US"/>
        </w:rPr>
        <w:t xml:space="preserve">erences </w:t>
      </w:r>
      <w:r w:rsidR="00964FE8" w:rsidRPr="004874D1">
        <w:rPr>
          <w:rFonts w:ascii="Times New Roman" w:hAnsi="Times New Roman" w:cs="Times New Roman"/>
          <w:sz w:val="24"/>
          <w:szCs w:val="24"/>
          <w:lang w:val="en-US"/>
        </w:rPr>
        <w:t>remained</w:t>
      </w:r>
      <w:r w:rsidRPr="004874D1">
        <w:rPr>
          <w:rFonts w:ascii="Times New Roman" w:hAnsi="Times New Roman" w:cs="Times New Roman"/>
          <w:sz w:val="24"/>
          <w:szCs w:val="24"/>
          <w:lang w:val="en-US"/>
        </w:rPr>
        <w:t xml:space="preserve"> when </w:t>
      </w:r>
      <w:r w:rsidR="00964FE8" w:rsidRPr="004874D1">
        <w:rPr>
          <w:rFonts w:ascii="Times New Roman" w:hAnsi="Times New Roman" w:cs="Times New Roman"/>
          <w:sz w:val="24"/>
          <w:szCs w:val="24"/>
          <w:lang w:val="en-US"/>
        </w:rPr>
        <w:t xml:space="preserve">analyses were </w:t>
      </w:r>
      <w:r w:rsidRPr="004874D1">
        <w:rPr>
          <w:rFonts w:ascii="Times New Roman" w:hAnsi="Times New Roman" w:cs="Times New Roman"/>
          <w:sz w:val="24"/>
          <w:szCs w:val="24"/>
          <w:lang w:val="en-US"/>
        </w:rPr>
        <w:t xml:space="preserve">stratified by </w:t>
      </w:r>
      <w:r w:rsidR="00036465" w:rsidRPr="004874D1">
        <w:rPr>
          <w:rFonts w:ascii="Times New Roman" w:hAnsi="Times New Roman" w:cs="Times New Roman"/>
          <w:sz w:val="24"/>
          <w:szCs w:val="24"/>
          <w:lang w:val="en-US"/>
        </w:rPr>
        <w:t>gender, age group, and SEP</w:t>
      </w:r>
      <w:r w:rsidRPr="004874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C70C7">
        <w:rPr>
          <w:rFonts w:ascii="Times New Roman" w:hAnsi="Times New Roman" w:cs="Times New Roman"/>
          <w:sz w:val="24"/>
          <w:szCs w:val="24"/>
          <w:lang w:val="en-US"/>
        </w:rPr>
        <w:t>W</w:t>
      </w:r>
      <w:r>
        <w:rPr>
          <w:rFonts w:ascii="Times New Roman" w:hAnsi="Times New Roman" w:cs="Times New Roman"/>
          <w:sz w:val="24"/>
          <w:szCs w:val="24"/>
          <w:lang w:val="en-US"/>
        </w:rPr>
        <w:t xml:space="preserve">omen had higher levels of physical </w:t>
      </w:r>
      <w:r w:rsidRPr="000A69C0">
        <w:rPr>
          <w:rFonts w:ascii="Times New Roman" w:hAnsi="Times New Roman" w:cs="Times New Roman"/>
          <w:sz w:val="24"/>
          <w:szCs w:val="24"/>
          <w:lang w:val="en-US"/>
        </w:rPr>
        <w:t xml:space="preserve">inactivity and depression in both jurisdictions, </w:t>
      </w:r>
      <w:r w:rsidR="00DA3355" w:rsidRPr="000A69C0">
        <w:rPr>
          <w:rFonts w:ascii="Times New Roman" w:hAnsi="Times New Roman" w:cs="Times New Roman"/>
          <w:sz w:val="24"/>
          <w:szCs w:val="24"/>
          <w:lang w:val="en-US"/>
        </w:rPr>
        <w:t>and those aged 65 and over had lower prevalence of obesity, smoking, and depression</w:t>
      </w:r>
      <w:r w:rsidRPr="000A69C0">
        <w:rPr>
          <w:rFonts w:ascii="Times New Roman" w:hAnsi="Times New Roman" w:cs="Times New Roman"/>
          <w:sz w:val="24"/>
          <w:szCs w:val="24"/>
          <w:lang w:val="en-US"/>
        </w:rPr>
        <w:t>.  Men had slightly higher rates of diabetes</w:t>
      </w:r>
      <w:r>
        <w:rPr>
          <w:rFonts w:ascii="Times New Roman" w:hAnsi="Times New Roman" w:cs="Times New Roman"/>
          <w:sz w:val="24"/>
          <w:szCs w:val="24"/>
          <w:lang w:val="en-US"/>
        </w:rPr>
        <w:t xml:space="preserve"> than women in ROI and </w:t>
      </w:r>
      <w:r w:rsidRPr="004E62A0">
        <w:rPr>
          <w:rFonts w:ascii="Times New Roman" w:hAnsi="Times New Roman" w:cs="Times New Roman"/>
          <w:sz w:val="24"/>
          <w:szCs w:val="24"/>
          <w:lang w:val="en-US"/>
        </w:rPr>
        <w:t>NI, which is congruent with other studies</w:t>
      </w:r>
      <w:r w:rsidR="003A0B20" w:rsidRPr="004E62A0">
        <w:rPr>
          <w:rFonts w:ascii="Times New Roman" w:hAnsi="Times New Roman" w:cs="Times New Roman"/>
          <w:sz w:val="24"/>
          <w:szCs w:val="24"/>
          <w:lang w:val="en-US"/>
        </w:rPr>
        <w:t xml:space="preserve"> (</w:t>
      </w:r>
      <w:proofErr w:type="spellStart"/>
      <w:r w:rsidR="003A0B20" w:rsidRPr="004E62A0">
        <w:rPr>
          <w:rFonts w:ascii="Times New Roman" w:hAnsi="Times New Roman" w:cs="Times New Roman"/>
          <w:bCs/>
          <w:sz w:val="24"/>
          <w:szCs w:val="24"/>
        </w:rPr>
        <w:t>Rosner</w:t>
      </w:r>
      <w:proofErr w:type="spellEnd"/>
      <w:r w:rsidR="003A0B20" w:rsidRPr="004E62A0">
        <w:rPr>
          <w:rFonts w:ascii="Times New Roman" w:hAnsi="Times New Roman" w:cs="Times New Roman"/>
          <w:bCs/>
          <w:sz w:val="24"/>
          <w:szCs w:val="24"/>
        </w:rPr>
        <w:t xml:space="preserve"> </w:t>
      </w:r>
      <w:proofErr w:type="spellStart"/>
      <w:r w:rsidR="003A0B20" w:rsidRPr="004E62A0">
        <w:rPr>
          <w:rFonts w:ascii="Times New Roman" w:hAnsi="Times New Roman" w:cs="Times New Roman"/>
          <w:bCs/>
          <w:sz w:val="24"/>
          <w:szCs w:val="24"/>
        </w:rPr>
        <w:t>Preis</w:t>
      </w:r>
      <w:proofErr w:type="spellEnd"/>
      <w:r w:rsidR="00EE186D" w:rsidRPr="004E62A0">
        <w:rPr>
          <w:rFonts w:ascii="Times New Roman" w:hAnsi="Times New Roman" w:cs="Times New Roman"/>
          <w:bCs/>
          <w:sz w:val="24"/>
          <w:szCs w:val="24"/>
        </w:rPr>
        <w:t xml:space="preserve"> </w:t>
      </w:r>
      <w:r w:rsidR="003A0B20" w:rsidRPr="004E62A0">
        <w:rPr>
          <w:rFonts w:ascii="Times New Roman" w:hAnsi="Times New Roman" w:cs="Times New Roman"/>
          <w:bCs/>
          <w:sz w:val="24"/>
          <w:szCs w:val="24"/>
        </w:rPr>
        <w:t>et al., 2009)</w:t>
      </w:r>
      <w:r w:rsidR="00334C35" w:rsidRPr="004E62A0">
        <w:rPr>
          <w:rFonts w:ascii="Times New Roman" w:hAnsi="Times New Roman" w:cs="Times New Roman"/>
          <w:sz w:val="24"/>
          <w:szCs w:val="24"/>
          <w:lang w:val="en-US"/>
        </w:rPr>
        <w:t>.</w:t>
      </w:r>
      <w:r w:rsidRPr="004E62A0">
        <w:rPr>
          <w:rFonts w:ascii="Times New Roman" w:hAnsi="Times New Roman" w:cs="Times New Roman"/>
          <w:sz w:val="24"/>
          <w:szCs w:val="24"/>
          <w:lang w:val="en-US"/>
        </w:rPr>
        <w:t xml:space="preserve">  There was evidence of</w:t>
      </w:r>
      <w:r>
        <w:rPr>
          <w:rFonts w:ascii="Times New Roman" w:hAnsi="Times New Roman" w:cs="Times New Roman"/>
          <w:sz w:val="24"/>
          <w:szCs w:val="24"/>
          <w:lang w:val="en-US"/>
        </w:rPr>
        <w:t xml:space="preserve"> health inequalities in both countries for most of the risk factors, with those in the low SEP group having the highest</w:t>
      </w:r>
      <w:r w:rsidR="001B1A89">
        <w:rPr>
          <w:rFonts w:ascii="Times New Roman" w:hAnsi="Times New Roman" w:cs="Times New Roman"/>
          <w:sz w:val="24"/>
          <w:szCs w:val="24"/>
          <w:lang w:val="en-US"/>
        </w:rPr>
        <w:t xml:space="preserve"> prevalence of current smoking, </w:t>
      </w:r>
      <w:r>
        <w:rPr>
          <w:rFonts w:ascii="Times New Roman" w:hAnsi="Times New Roman" w:cs="Times New Roman"/>
          <w:sz w:val="24"/>
          <w:szCs w:val="24"/>
          <w:lang w:val="en-US"/>
        </w:rPr>
        <w:t xml:space="preserve">obesity, physical inactivity </w:t>
      </w:r>
      <w:r w:rsidR="001B1A89">
        <w:rPr>
          <w:rFonts w:ascii="Times New Roman" w:hAnsi="Times New Roman" w:cs="Times New Roman"/>
          <w:sz w:val="24"/>
          <w:szCs w:val="24"/>
          <w:lang w:val="en-US"/>
        </w:rPr>
        <w:t xml:space="preserve">(NI only), diabetes, and </w:t>
      </w:r>
      <w:r>
        <w:rPr>
          <w:rFonts w:ascii="Times New Roman" w:hAnsi="Times New Roman" w:cs="Times New Roman"/>
          <w:sz w:val="24"/>
          <w:szCs w:val="24"/>
          <w:lang w:val="en-US"/>
        </w:rPr>
        <w:t>depression.  Therefore, risk factors for disability also showed clear evidence of inequalities, and mirror the findings of other studies</w:t>
      </w:r>
      <w:r w:rsidR="003A0B20">
        <w:rPr>
          <w:rFonts w:ascii="Times New Roman" w:hAnsi="Times New Roman" w:cs="Times New Roman"/>
          <w:sz w:val="24"/>
          <w:szCs w:val="24"/>
          <w:lang w:val="en-US"/>
        </w:rPr>
        <w:t xml:space="preserve"> (</w:t>
      </w:r>
      <w:proofErr w:type="spellStart"/>
      <w:r w:rsidR="003A0B20">
        <w:rPr>
          <w:rFonts w:ascii="Times New Roman" w:hAnsi="Times New Roman" w:cs="Times New Roman"/>
          <w:sz w:val="24"/>
          <w:szCs w:val="24"/>
          <w:lang w:val="en-US"/>
        </w:rPr>
        <w:t>Balanda</w:t>
      </w:r>
      <w:proofErr w:type="spellEnd"/>
      <w:r w:rsidR="003A0B20">
        <w:rPr>
          <w:rFonts w:ascii="Times New Roman" w:hAnsi="Times New Roman" w:cs="Times New Roman"/>
          <w:sz w:val="24"/>
          <w:szCs w:val="24"/>
          <w:lang w:val="en-US"/>
        </w:rPr>
        <w:t xml:space="preserve"> </w:t>
      </w:r>
      <w:r w:rsidR="003A0B20" w:rsidRPr="00EE186D">
        <w:rPr>
          <w:rFonts w:ascii="Times New Roman" w:hAnsi="Times New Roman" w:cs="Times New Roman"/>
          <w:sz w:val="24"/>
          <w:szCs w:val="24"/>
          <w:lang w:val="en-US"/>
        </w:rPr>
        <w:t xml:space="preserve">et al., 2010; Beauchamp et al., 2010; </w:t>
      </w:r>
      <w:proofErr w:type="spellStart"/>
      <w:r w:rsidR="003A0B20" w:rsidRPr="00EE186D">
        <w:rPr>
          <w:rFonts w:ascii="Times New Roman" w:hAnsi="Times New Roman" w:cs="Times New Roman"/>
          <w:sz w:val="24"/>
          <w:szCs w:val="24"/>
        </w:rPr>
        <w:t>Bajekal</w:t>
      </w:r>
      <w:proofErr w:type="spellEnd"/>
      <w:r w:rsidR="003A0B20" w:rsidRPr="00EE186D">
        <w:rPr>
          <w:rFonts w:ascii="Times New Roman" w:hAnsi="Times New Roman" w:cs="Times New Roman"/>
          <w:sz w:val="24"/>
          <w:szCs w:val="24"/>
        </w:rPr>
        <w:t xml:space="preserve"> </w:t>
      </w:r>
      <w:r w:rsidR="003A0B20" w:rsidRPr="004E62A0">
        <w:rPr>
          <w:rFonts w:ascii="Times New Roman" w:hAnsi="Times New Roman" w:cs="Times New Roman"/>
          <w:sz w:val="24"/>
          <w:szCs w:val="24"/>
        </w:rPr>
        <w:t>et al</w:t>
      </w:r>
      <w:r w:rsidR="003A0B20" w:rsidRPr="00EE186D">
        <w:rPr>
          <w:rFonts w:ascii="Times New Roman" w:hAnsi="Times New Roman" w:cs="Times New Roman"/>
          <w:sz w:val="24"/>
          <w:szCs w:val="24"/>
        </w:rPr>
        <w:t xml:space="preserve">, 2013; </w:t>
      </w:r>
      <w:r w:rsidR="003A0B20" w:rsidRPr="00EE186D">
        <w:rPr>
          <w:rFonts w:ascii="Times New Roman" w:hAnsi="Times New Roman" w:cs="Times New Roman"/>
          <w:sz w:val="24"/>
          <w:szCs w:val="24"/>
          <w:lang w:val="en-US"/>
        </w:rPr>
        <w:t>Sacker</w:t>
      </w:r>
      <w:r w:rsidR="00EE186D">
        <w:rPr>
          <w:rFonts w:ascii="Times New Roman" w:hAnsi="Times New Roman" w:cs="Times New Roman"/>
          <w:sz w:val="24"/>
          <w:szCs w:val="24"/>
          <w:lang w:val="en-US"/>
        </w:rPr>
        <w:t xml:space="preserve"> et al.</w:t>
      </w:r>
      <w:r w:rsidR="003A0B20">
        <w:rPr>
          <w:rFonts w:ascii="Times New Roman" w:hAnsi="Times New Roman" w:cs="Times New Roman"/>
          <w:sz w:val="24"/>
          <w:szCs w:val="24"/>
          <w:lang w:val="en-US"/>
        </w:rPr>
        <w:t>, 2008)</w:t>
      </w:r>
      <w:r w:rsidR="0013034E">
        <w:rPr>
          <w:rFonts w:ascii="Times New Roman" w:hAnsi="Times New Roman" w:cs="Times New Roman"/>
          <w:sz w:val="24"/>
          <w:szCs w:val="24"/>
          <w:lang w:val="en-US"/>
        </w:rPr>
        <w:t>.</w:t>
      </w:r>
    </w:p>
    <w:p w:rsidR="00E62283" w:rsidRPr="00737EAA" w:rsidRDefault="00E62283" w:rsidP="00461457">
      <w:pPr>
        <w:spacing w:after="0" w:line="360" w:lineRule="auto"/>
        <w:rPr>
          <w:rFonts w:ascii="Times New Roman" w:hAnsi="Times New Roman" w:cs="Times New Roman"/>
          <w:i/>
          <w:sz w:val="24"/>
          <w:szCs w:val="24"/>
        </w:rPr>
      </w:pPr>
      <w:r w:rsidRPr="00737EAA">
        <w:rPr>
          <w:rFonts w:ascii="Times New Roman" w:hAnsi="Times New Roman" w:cs="Times New Roman"/>
          <w:i/>
          <w:sz w:val="24"/>
          <w:szCs w:val="24"/>
        </w:rPr>
        <w:t>Strengths of the present study</w:t>
      </w:r>
    </w:p>
    <w:p w:rsidR="00E62283"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study benefited from the use of two large representative national samples which </w:t>
      </w:r>
      <w:r w:rsidR="00490C34">
        <w:rPr>
          <w:rFonts w:ascii="Times New Roman" w:hAnsi="Times New Roman" w:cs="Times New Roman"/>
          <w:sz w:val="24"/>
          <w:szCs w:val="24"/>
        </w:rPr>
        <w:t>permitted</w:t>
      </w:r>
      <w:r w:rsidR="001A5D97">
        <w:rPr>
          <w:rFonts w:ascii="Times New Roman" w:hAnsi="Times New Roman" w:cs="Times New Roman"/>
          <w:sz w:val="24"/>
          <w:szCs w:val="24"/>
        </w:rPr>
        <w:t xml:space="preserve"> </w:t>
      </w:r>
      <w:r>
        <w:rPr>
          <w:rFonts w:ascii="Times New Roman" w:hAnsi="Times New Roman" w:cs="Times New Roman"/>
          <w:sz w:val="24"/>
          <w:szCs w:val="24"/>
        </w:rPr>
        <w:t>analyses that would not otherwise have been possible given the low prevalence of disability</w:t>
      </w:r>
      <w:r w:rsidR="0041120A">
        <w:rPr>
          <w:rFonts w:ascii="Times New Roman" w:hAnsi="Times New Roman" w:cs="Times New Roman"/>
          <w:sz w:val="24"/>
          <w:szCs w:val="24"/>
        </w:rPr>
        <w:t xml:space="preserve"> associated with CHD</w:t>
      </w:r>
      <w:r>
        <w:rPr>
          <w:rFonts w:ascii="Times New Roman" w:hAnsi="Times New Roman" w:cs="Times New Roman"/>
          <w:sz w:val="24"/>
          <w:szCs w:val="24"/>
        </w:rPr>
        <w:t xml:space="preserve">.  Both samples were population-based and therefore could be weighted, which renders the findings more </w:t>
      </w:r>
      <w:proofErr w:type="spellStart"/>
      <w:r>
        <w:rPr>
          <w:rFonts w:ascii="Times New Roman" w:hAnsi="Times New Roman" w:cs="Times New Roman"/>
          <w:sz w:val="24"/>
          <w:szCs w:val="24"/>
        </w:rPr>
        <w:t>generalisable</w:t>
      </w:r>
      <w:proofErr w:type="spellEnd"/>
      <w:r>
        <w:rPr>
          <w:rFonts w:ascii="Times New Roman" w:hAnsi="Times New Roman" w:cs="Times New Roman"/>
          <w:sz w:val="24"/>
          <w:szCs w:val="24"/>
        </w:rPr>
        <w:t>.  For the most part the pertinent variables were comparable across the two datasets, or could be re-coded so as to make them sufficiently</w:t>
      </w:r>
      <w:r w:rsidR="00F77465">
        <w:rPr>
          <w:rFonts w:ascii="Times New Roman" w:hAnsi="Times New Roman" w:cs="Times New Roman"/>
          <w:sz w:val="24"/>
          <w:szCs w:val="24"/>
        </w:rPr>
        <w:t xml:space="preserve"> comparable.  </w:t>
      </w:r>
      <w:r>
        <w:rPr>
          <w:rFonts w:ascii="Times New Roman" w:hAnsi="Times New Roman" w:cs="Times New Roman"/>
          <w:sz w:val="24"/>
          <w:szCs w:val="24"/>
        </w:rPr>
        <w:t>Finally,</w:t>
      </w:r>
      <w:r w:rsidR="00490C34">
        <w:rPr>
          <w:rFonts w:ascii="Times New Roman" w:hAnsi="Times New Roman" w:cs="Times New Roman"/>
          <w:sz w:val="24"/>
          <w:szCs w:val="24"/>
        </w:rPr>
        <w:t xml:space="preserve"> </w:t>
      </w:r>
      <w:r>
        <w:rPr>
          <w:rFonts w:ascii="Times New Roman" w:hAnsi="Times New Roman" w:cs="Times New Roman"/>
          <w:sz w:val="24"/>
          <w:szCs w:val="24"/>
        </w:rPr>
        <w:t>deriv</w:t>
      </w:r>
      <w:r w:rsidR="00490C34">
        <w:rPr>
          <w:rFonts w:ascii="Times New Roman" w:hAnsi="Times New Roman" w:cs="Times New Roman"/>
          <w:sz w:val="24"/>
          <w:szCs w:val="24"/>
        </w:rPr>
        <w:t>ing</w:t>
      </w:r>
      <w:r>
        <w:rPr>
          <w:rFonts w:ascii="Times New Roman" w:hAnsi="Times New Roman" w:cs="Times New Roman"/>
          <w:sz w:val="24"/>
          <w:szCs w:val="24"/>
        </w:rPr>
        <w:t xml:space="preserve"> our own RRs allowed us to weight, adjust, and stratify to suit the requirements of the study, as well as to evaluate the robustness of estimates, and eliminate possible biases that the use of published RRs might have introduced.</w:t>
      </w:r>
    </w:p>
    <w:p w:rsidR="00E62283" w:rsidRDefault="00E62283" w:rsidP="00461457">
      <w:pPr>
        <w:spacing w:after="0" w:line="360" w:lineRule="auto"/>
        <w:rPr>
          <w:rFonts w:ascii="Times New Roman" w:hAnsi="Times New Roman" w:cs="Times New Roman"/>
          <w:sz w:val="24"/>
          <w:szCs w:val="24"/>
        </w:rPr>
      </w:pPr>
    </w:p>
    <w:p w:rsidR="00E62283" w:rsidRPr="00737EAA" w:rsidRDefault="00E62283" w:rsidP="00461457">
      <w:pPr>
        <w:spacing w:after="0" w:line="360" w:lineRule="auto"/>
        <w:rPr>
          <w:rFonts w:ascii="Times New Roman" w:hAnsi="Times New Roman" w:cs="Times New Roman"/>
          <w:i/>
          <w:sz w:val="24"/>
          <w:szCs w:val="24"/>
        </w:rPr>
      </w:pPr>
      <w:r w:rsidRPr="00737EAA">
        <w:rPr>
          <w:rFonts w:ascii="Times New Roman" w:hAnsi="Times New Roman" w:cs="Times New Roman"/>
          <w:i/>
          <w:sz w:val="24"/>
          <w:szCs w:val="24"/>
        </w:rPr>
        <w:t>Limitations of the present study</w:t>
      </w:r>
    </w:p>
    <w:p w:rsidR="00E44868" w:rsidRPr="00945DD4" w:rsidRDefault="003A26CF"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786E9D">
        <w:rPr>
          <w:rFonts w:ascii="Times New Roman" w:hAnsi="Times New Roman" w:cs="Times New Roman"/>
          <w:sz w:val="24"/>
          <w:szCs w:val="24"/>
        </w:rPr>
        <w:t xml:space="preserve">here were some limitations </w:t>
      </w:r>
      <w:r>
        <w:rPr>
          <w:rFonts w:ascii="Times New Roman" w:hAnsi="Times New Roman" w:cs="Times New Roman"/>
          <w:sz w:val="24"/>
          <w:szCs w:val="24"/>
        </w:rPr>
        <w:t xml:space="preserve">with sample size and small cell counts, especially in </w:t>
      </w:r>
      <w:r w:rsidRPr="00786E9D">
        <w:rPr>
          <w:rFonts w:ascii="Times New Roman" w:hAnsi="Times New Roman" w:cs="Times New Roman"/>
          <w:sz w:val="24"/>
          <w:szCs w:val="24"/>
        </w:rPr>
        <w:t xml:space="preserve">the NIHS, when </w:t>
      </w:r>
      <w:r w:rsidR="00490C34">
        <w:rPr>
          <w:rFonts w:ascii="Times New Roman" w:hAnsi="Times New Roman" w:cs="Times New Roman"/>
          <w:sz w:val="24"/>
          <w:szCs w:val="24"/>
        </w:rPr>
        <w:t>stratifying</w:t>
      </w:r>
      <w:r w:rsidRPr="00786E9D">
        <w:rPr>
          <w:rFonts w:ascii="Times New Roman" w:hAnsi="Times New Roman" w:cs="Times New Roman"/>
          <w:sz w:val="24"/>
          <w:szCs w:val="24"/>
        </w:rPr>
        <w:t xml:space="preserve"> disability </w:t>
      </w:r>
      <w:r w:rsidR="00490C34">
        <w:rPr>
          <w:rFonts w:ascii="Times New Roman" w:hAnsi="Times New Roman" w:cs="Times New Roman"/>
          <w:sz w:val="24"/>
          <w:szCs w:val="24"/>
        </w:rPr>
        <w:t>prevalence</w:t>
      </w:r>
      <w:r w:rsidR="00CD643E">
        <w:rPr>
          <w:rFonts w:ascii="Times New Roman" w:hAnsi="Times New Roman" w:cs="Times New Roman"/>
          <w:sz w:val="24"/>
          <w:szCs w:val="24"/>
        </w:rPr>
        <w:t xml:space="preserve">, which </w:t>
      </w:r>
      <w:r>
        <w:rPr>
          <w:rFonts w:ascii="Times New Roman" w:hAnsi="Times New Roman" w:cs="Times New Roman"/>
          <w:sz w:val="24"/>
          <w:szCs w:val="24"/>
        </w:rPr>
        <w:t>were</w:t>
      </w:r>
      <w:r w:rsidRPr="00786E9D">
        <w:rPr>
          <w:rFonts w:ascii="Times New Roman" w:hAnsi="Times New Roman" w:cs="Times New Roman"/>
          <w:sz w:val="24"/>
          <w:szCs w:val="24"/>
        </w:rPr>
        <w:t xml:space="preserve"> addressed by merging the TILDA and NIHS datasets on pertinent variables and using only the pooled data to est</w:t>
      </w:r>
      <w:r>
        <w:rPr>
          <w:rFonts w:ascii="Times New Roman" w:hAnsi="Times New Roman" w:cs="Times New Roman"/>
          <w:sz w:val="24"/>
          <w:szCs w:val="24"/>
        </w:rPr>
        <w:t>ablish RR</w:t>
      </w:r>
      <w:r w:rsidRPr="00786E9D">
        <w:rPr>
          <w:rFonts w:ascii="Times New Roman" w:hAnsi="Times New Roman" w:cs="Times New Roman"/>
          <w:sz w:val="24"/>
          <w:szCs w:val="24"/>
        </w:rPr>
        <w:t xml:space="preserve"> estimates; by aggregating age to two groups; and by minimising the level of stratification.  In most instances this was sufficient to provide robust estimates</w:t>
      </w:r>
      <w:r>
        <w:rPr>
          <w:rFonts w:ascii="Times New Roman" w:hAnsi="Times New Roman" w:cs="Times New Roman"/>
          <w:sz w:val="24"/>
          <w:szCs w:val="24"/>
        </w:rPr>
        <w:t>.</w:t>
      </w:r>
      <w:r w:rsidRPr="003A26CF">
        <w:rPr>
          <w:rFonts w:ascii="Times New Roman" w:hAnsi="Times New Roman" w:cs="Times New Roman"/>
          <w:sz w:val="24"/>
          <w:szCs w:val="24"/>
        </w:rPr>
        <w:t xml:space="preserve"> </w:t>
      </w:r>
      <w:r>
        <w:rPr>
          <w:rFonts w:ascii="Times New Roman" w:hAnsi="Times New Roman" w:cs="Times New Roman"/>
          <w:sz w:val="24"/>
          <w:szCs w:val="24"/>
        </w:rPr>
        <w:t xml:space="preserve"> Furthermore, RRs for each risk factor were derived </w:t>
      </w:r>
      <w:r w:rsidRPr="0004557E">
        <w:rPr>
          <w:rFonts w:ascii="Times New Roman" w:hAnsi="Times New Roman" w:cs="Times New Roman"/>
          <w:sz w:val="24"/>
          <w:szCs w:val="24"/>
        </w:rPr>
        <w:t>from cross-sectional data; therefore, caution is advised when making inferences regarding causality of the risk factors on future disability.</w:t>
      </w:r>
      <w:r w:rsidR="00246FE9" w:rsidRPr="0004557E">
        <w:rPr>
          <w:rFonts w:ascii="Times New Roman" w:hAnsi="Times New Roman" w:cs="Times New Roman"/>
          <w:sz w:val="24"/>
          <w:szCs w:val="24"/>
        </w:rPr>
        <w:t xml:space="preserve"> </w:t>
      </w:r>
      <w:r w:rsidR="004874D1" w:rsidRPr="0004557E">
        <w:rPr>
          <w:rFonts w:ascii="Times New Roman" w:hAnsi="Times New Roman" w:cs="Times New Roman"/>
          <w:sz w:val="24"/>
          <w:szCs w:val="24"/>
        </w:rPr>
        <w:t xml:space="preserve"> </w:t>
      </w:r>
      <w:r w:rsidR="00F31CFE" w:rsidRPr="0004557E">
        <w:rPr>
          <w:rFonts w:ascii="Times New Roman" w:hAnsi="Times New Roman" w:cs="Times New Roman"/>
          <w:sz w:val="24"/>
          <w:szCs w:val="24"/>
        </w:rPr>
        <w:t xml:space="preserve">Estimating </w:t>
      </w:r>
      <w:r w:rsidR="004874D1" w:rsidRPr="0004557E">
        <w:rPr>
          <w:rFonts w:ascii="Times New Roman" w:hAnsi="Times New Roman" w:cs="Times New Roman"/>
          <w:sz w:val="24"/>
          <w:szCs w:val="24"/>
        </w:rPr>
        <w:t>RRs</w:t>
      </w:r>
      <w:r w:rsidR="00F31CFE" w:rsidRPr="0004557E">
        <w:rPr>
          <w:rFonts w:ascii="Times New Roman" w:hAnsi="Times New Roman" w:cs="Times New Roman"/>
          <w:sz w:val="24"/>
          <w:szCs w:val="24"/>
        </w:rPr>
        <w:t xml:space="preserve"> from longitudinal data would be less prone to bias</w:t>
      </w:r>
      <w:r w:rsidR="004874D1" w:rsidRPr="0004557E">
        <w:rPr>
          <w:rFonts w:ascii="Times New Roman" w:hAnsi="Times New Roman" w:cs="Times New Roman"/>
          <w:sz w:val="24"/>
          <w:szCs w:val="24"/>
        </w:rPr>
        <w:t>,</w:t>
      </w:r>
      <w:r w:rsidR="00F31CFE" w:rsidRPr="0004557E">
        <w:rPr>
          <w:rFonts w:ascii="Times New Roman" w:hAnsi="Times New Roman" w:cs="Times New Roman"/>
          <w:sz w:val="24"/>
          <w:szCs w:val="24"/>
        </w:rPr>
        <w:t xml:space="preserve"> but the direction and magnitude of </w:t>
      </w:r>
      <w:r w:rsidR="004874D1" w:rsidRPr="0004557E">
        <w:rPr>
          <w:rFonts w:ascii="Times New Roman" w:hAnsi="Times New Roman" w:cs="Times New Roman"/>
          <w:sz w:val="24"/>
          <w:szCs w:val="24"/>
        </w:rPr>
        <w:t>any</w:t>
      </w:r>
      <w:r w:rsidR="00F31CFE" w:rsidRPr="0004557E">
        <w:rPr>
          <w:rFonts w:ascii="Times New Roman" w:hAnsi="Times New Roman" w:cs="Times New Roman"/>
          <w:sz w:val="24"/>
          <w:szCs w:val="24"/>
        </w:rPr>
        <w:t xml:space="preserve"> bias is uncertain. </w:t>
      </w:r>
      <w:r w:rsidR="004874D1" w:rsidRPr="0004557E">
        <w:rPr>
          <w:rFonts w:ascii="Times New Roman" w:hAnsi="Times New Roman" w:cs="Times New Roman"/>
          <w:sz w:val="24"/>
          <w:szCs w:val="24"/>
        </w:rPr>
        <w:t xml:space="preserve"> </w:t>
      </w:r>
      <w:r w:rsidR="00F31CFE" w:rsidRPr="0004557E">
        <w:rPr>
          <w:rFonts w:ascii="Times New Roman" w:hAnsi="Times New Roman" w:cs="Times New Roman"/>
          <w:sz w:val="24"/>
          <w:szCs w:val="24"/>
        </w:rPr>
        <w:t>On the one hand</w:t>
      </w:r>
      <w:r w:rsidR="004874D1" w:rsidRPr="0004557E">
        <w:rPr>
          <w:rFonts w:ascii="Times New Roman" w:hAnsi="Times New Roman" w:cs="Times New Roman"/>
          <w:sz w:val="24"/>
          <w:szCs w:val="24"/>
        </w:rPr>
        <w:t>,</w:t>
      </w:r>
      <w:r w:rsidR="00F31CFE" w:rsidRPr="0004557E">
        <w:rPr>
          <w:rFonts w:ascii="Times New Roman" w:hAnsi="Times New Roman" w:cs="Times New Roman"/>
          <w:sz w:val="24"/>
          <w:szCs w:val="24"/>
        </w:rPr>
        <w:t xml:space="preserve"> some risk factors like smoking may raise risks for both mortality and CHD-related disability, and such “high risk” individuals may be under</w:t>
      </w:r>
      <w:r w:rsidR="004874D1" w:rsidRPr="0004557E">
        <w:rPr>
          <w:rFonts w:ascii="Times New Roman" w:hAnsi="Times New Roman" w:cs="Times New Roman"/>
          <w:sz w:val="24"/>
          <w:szCs w:val="24"/>
        </w:rPr>
        <w:t>-</w:t>
      </w:r>
      <w:r w:rsidR="00F31CFE" w:rsidRPr="0004557E">
        <w:rPr>
          <w:rFonts w:ascii="Times New Roman" w:hAnsi="Times New Roman" w:cs="Times New Roman"/>
          <w:sz w:val="24"/>
          <w:szCs w:val="24"/>
        </w:rPr>
        <w:t xml:space="preserve">represented in any cross-sectional dataset of “survivors” (implying that we might have underestimated the RR </w:t>
      </w:r>
      <w:r w:rsidR="00F31CFE" w:rsidRPr="00DD7F65">
        <w:rPr>
          <w:rFonts w:ascii="Times New Roman" w:hAnsi="Times New Roman" w:cs="Times New Roman"/>
          <w:sz w:val="24"/>
          <w:szCs w:val="24"/>
        </w:rPr>
        <w:t xml:space="preserve">for disability). </w:t>
      </w:r>
      <w:r w:rsidR="004874D1" w:rsidRPr="00DD7F65">
        <w:rPr>
          <w:rFonts w:ascii="Times New Roman" w:hAnsi="Times New Roman" w:cs="Times New Roman"/>
          <w:sz w:val="24"/>
          <w:szCs w:val="24"/>
        </w:rPr>
        <w:t xml:space="preserve"> </w:t>
      </w:r>
      <w:r w:rsidR="00F31CFE" w:rsidRPr="00DD7F65">
        <w:rPr>
          <w:rFonts w:ascii="Times New Roman" w:hAnsi="Times New Roman" w:cs="Times New Roman"/>
          <w:sz w:val="24"/>
          <w:szCs w:val="24"/>
        </w:rPr>
        <w:t>On the other hand, the degree and direction of bias is even more uncertain for</w:t>
      </w:r>
      <w:r w:rsidR="00F31CFE" w:rsidRPr="0004557E">
        <w:rPr>
          <w:rFonts w:ascii="Times New Roman" w:hAnsi="Times New Roman" w:cs="Times New Roman"/>
          <w:sz w:val="24"/>
          <w:szCs w:val="24"/>
        </w:rPr>
        <w:t xml:space="preserve"> a risk factor like obesity</w:t>
      </w:r>
      <w:r w:rsidR="008935E9" w:rsidRPr="0004557E">
        <w:rPr>
          <w:rFonts w:ascii="Times New Roman" w:hAnsi="Times New Roman" w:cs="Times New Roman"/>
          <w:sz w:val="24"/>
          <w:szCs w:val="24"/>
        </w:rPr>
        <w:t xml:space="preserve"> </w:t>
      </w:r>
      <w:r w:rsidR="00F31CFE" w:rsidRPr="0004557E">
        <w:rPr>
          <w:rFonts w:ascii="Times New Roman" w:hAnsi="Times New Roman" w:cs="Times New Roman"/>
          <w:sz w:val="24"/>
          <w:szCs w:val="24"/>
        </w:rPr>
        <w:t>which has a non-linear relationship with survival</w:t>
      </w:r>
      <w:r w:rsidR="0004557E">
        <w:rPr>
          <w:rFonts w:ascii="Times New Roman" w:hAnsi="Times New Roman" w:cs="Times New Roman"/>
          <w:sz w:val="24"/>
          <w:szCs w:val="24"/>
        </w:rPr>
        <w:t>,</w:t>
      </w:r>
      <w:r w:rsidR="00F31CFE" w:rsidRPr="0004557E">
        <w:rPr>
          <w:rFonts w:ascii="Times New Roman" w:hAnsi="Times New Roman" w:cs="Times New Roman"/>
          <w:sz w:val="24"/>
          <w:szCs w:val="24"/>
        </w:rPr>
        <w:t xml:space="preserve"> and which may </w:t>
      </w:r>
      <w:r w:rsidR="00F31CFE" w:rsidRPr="004E62A0">
        <w:rPr>
          <w:rFonts w:ascii="Times New Roman" w:hAnsi="Times New Roman" w:cs="Times New Roman"/>
          <w:sz w:val="24"/>
          <w:szCs w:val="24"/>
        </w:rPr>
        <w:t>even confer a lower risk after a first incident event</w:t>
      </w:r>
      <w:r w:rsidR="003A0B20" w:rsidRPr="004E62A0">
        <w:rPr>
          <w:rFonts w:ascii="Times New Roman" w:hAnsi="Times New Roman" w:cs="Times New Roman"/>
          <w:sz w:val="24"/>
          <w:szCs w:val="24"/>
        </w:rPr>
        <w:t xml:space="preserve"> (</w:t>
      </w:r>
      <w:r w:rsidR="003A0B20" w:rsidRPr="004E62A0">
        <w:rPr>
          <w:rFonts w:ascii="Times New Roman" w:hAnsi="Times New Roman" w:cs="Times New Roman"/>
          <w:sz w:val="24"/>
          <w:szCs w:val="24"/>
          <w:lang w:val="en-GB"/>
        </w:rPr>
        <w:t>Romero-Corral et al., 2006)</w:t>
      </w:r>
      <w:r w:rsidR="00F31CFE" w:rsidRPr="004E62A0">
        <w:rPr>
          <w:rFonts w:ascii="Times New Roman" w:hAnsi="Times New Roman" w:cs="Times New Roman"/>
          <w:sz w:val="24"/>
          <w:szCs w:val="24"/>
        </w:rPr>
        <w:t>.</w:t>
      </w:r>
    </w:p>
    <w:p w:rsidR="00AE294D" w:rsidRPr="00945DD4" w:rsidRDefault="00AE294D" w:rsidP="00461457">
      <w:pPr>
        <w:spacing w:after="0" w:line="360" w:lineRule="auto"/>
        <w:rPr>
          <w:rFonts w:ascii="Times New Roman" w:hAnsi="Times New Roman" w:cs="Times New Roman"/>
          <w:sz w:val="24"/>
          <w:szCs w:val="24"/>
        </w:rPr>
      </w:pPr>
    </w:p>
    <w:p w:rsidR="00E62283"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study did not specifically consider co-morbidities in relation to disability.  The only exception to this was the adjustment for diabetes in all the </w:t>
      </w:r>
      <w:r w:rsidR="00490C34">
        <w:rPr>
          <w:rFonts w:ascii="Times New Roman" w:hAnsi="Times New Roman" w:cs="Times New Roman"/>
          <w:sz w:val="24"/>
          <w:szCs w:val="24"/>
        </w:rPr>
        <w:t xml:space="preserve">RR </w:t>
      </w:r>
      <w:r>
        <w:rPr>
          <w:rFonts w:ascii="Times New Roman" w:hAnsi="Times New Roman" w:cs="Times New Roman"/>
          <w:sz w:val="24"/>
          <w:szCs w:val="24"/>
        </w:rPr>
        <w:t>regression models</w:t>
      </w:r>
      <w:r w:rsidR="00CD643E">
        <w:rPr>
          <w:rFonts w:ascii="Times New Roman" w:hAnsi="Times New Roman" w:cs="Times New Roman"/>
          <w:sz w:val="24"/>
          <w:szCs w:val="24"/>
        </w:rPr>
        <w:t xml:space="preserve">.  Therefore, </w:t>
      </w:r>
      <w:r>
        <w:rPr>
          <w:rFonts w:ascii="Times New Roman" w:hAnsi="Times New Roman" w:cs="Times New Roman"/>
          <w:sz w:val="24"/>
          <w:szCs w:val="24"/>
        </w:rPr>
        <w:t>it is important to view the PAFs for each risk factor as being representa</w:t>
      </w:r>
      <w:r w:rsidR="00BC70C7">
        <w:rPr>
          <w:rFonts w:ascii="Times New Roman" w:hAnsi="Times New Roman" w:cs="Times New Roman"/>
          <w:sz w:val="24"/>
          <w:szCs w:val="24"/>
        </w:rPr>
        <w:t>tive of only an element</w:t>
      </w:r>
      <w:r>
        <w:rPr>
          <w:rFonts w:ascii="Times New Roman" w:hAnsi="Times New Roman" w:cs="Times New Roman"/>
          <w:sz w:val="24"/>
          <w:szCs w:val="24"/>
        </w:rPr>
        <w:t xml:space="preserve"> of possible overall disability that a person may experience.  Furthermore, we did not consider the severity of CHD or disabili</w:t>
      </w:r>
      <w:r w:rsidR="00CD643E">
        <w:rPr>
          <w:rFonts w:ascii="Times New Roman" w:hAnsi="Times New Roman" w:cs="Times New Roman"/>
          <w:sz w:val="24"/>
          <w:szCs w:val="24"/>
        </w:rPr>
        <w:t>ty</w:t>
      </w:r>
      <w:r>
        <w:rPr>
          <w:rFonts w:ascii="Times New Roman" w:hAnsi="Times New Roman" w:cs="Times New Roman"/>
          <w:sz w:val="24"/>
          <w:szCs w:val="24"/>
        </w:rPr>
        <w:t>.</w:t>
      </w:r>
    </w:p>
    <w:p w:rsidR="00242E4E" w:rsidRDefault="00242E4E" w:rsidP="00461457">
      <w:pPr>
        <w:spacing w:after="0" w:line="360" w:lineRule="auto"/>
        <w:rPr>
          <w:rFonts w:ascii="Times New Roman" w:hAnsi="Times New Roman"/>
          <w:sz w:val="24"/>
          <w:szCs w:val="24"/>
        </w:rPr>
      </w:pPr>
    </w:p>
    <w:p w:rsidR="00E62283" w:rsidRDefault="00E62283"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have assumed that a respondent </w:t>
      </w:r>
      <w:r w:rsidR="006D0941">
        <w:rPr>
          <w:rFonts w:ascii="Times New Roman" w:hAnsi="Times New Roman" w:cs="Times New Roman"/>
          <w:sz w:val="24"/>
          <w:szCs w:val="24"/>
        </w:rPr>
        <w:t xml:space="preserve">had </w:t>
      </w:r>
      <w:r>
        <w:rPr>
          <w:rFonts w:ascii="Times New Roman" w:hAnsi="Times New Roman" w:cs="Times New Roman"/>
          <w:sz w:val="24"/>
          <w:szCs w:val="24"/>
        </w:rPr>
        <w:t>disability if they re</w:t>
      </w:r>
      <w:r w:rsidR="00CD643E">
        <w:rPr>
          <w:rFonts w:ascii="Times New Roman" w:hAnsi="Times New Roman" w:cs="Times New Roman"/>
          <w:sz w:val="24"/>
          <w:szCs w:val="24"/>
        </w:rPr>
        <w:t xml:space="preserve">ported having CHD </w:t>
      </w:r>
      <w:r>
        <w:rPr>
          <w:rFonts w:ascii="Times New Roman" w:hAnsi="Times New Roman" w:cs="Times New Roman"/>
          <w:sz w:val="24"/>
          <w:szCs w:val="24"/>
        </w:rPr>
        <w:t>and a LLTI.  In truth, especially at older ages, LLTI may be as a result of</w:t>
      </w:r>
      <w:r w:rsidR="00B2365A">
        <w:rPr>
          <w:rFonts w:ascii="Times New Roman" w:hAnsi="Times New Roman" w:cs="Times New Roman"/>
          <w:sz w:val="24"/>
          <w:szCs w:val="24"/>
        </w:rPr>
        <w:t xml:space="preserve"> </w:t>
      </w:r>
      <w:r>
        <w:rPr>
          <w:rFonts w:ascii="Times New Roman" w:hAnsi="Times New Roman" w:cs="Times New Roman"/>
          <w:sz w:val="24"/>
          <w:szCs w:val="24"/>
        </w:rPr>
        <w:t>co-morbid condition</w:t>
      </w:r>
      <w:r w:rsidR="00B2365A">
        <w:rPr>
          <w:rFonts w:ascii="Times New Roman" w:hAnsi="Times New Roman" w:cs="Times New Roman"/>
          <w:sz w:val="24"/>
          <w:szCs w:val="24"/>
        </w:rPr>
        <w:t>s</w:t>
      </w:r>
      <w:r>
        <w:rPr>
          <w:rFonts w:ascii="Times New Roman" w:hAnsi="Times New Roman" w:cs="Times New Roman"/>
          <w:sz w:val="24"/>
          <w:szCs w:val="24"/>
        </w:rPr>
        <w:t xml:space="preserve"> </w:t>
      </w:r>
      <w:r w:rsidR="006D0941">
        <w:rPr>
          <w:rFonts w:ascii="Times New Roman" w:hAnsi="Times New Roman" w:cs="Times New Roman"/>
          <w:sz w:val="24"/>
          <w:szCs w:val="24"/>
        </w:rPr>
        <w:t xml:space="preserve">such as </w:t>
      </w:r>
      <w:r w:rsidR="00B2365A">
        <w:rPr>
          <w:rFonts w:ascii="Times New Roman" w:hAnsi="Times New Roman" w:cs="Times New Roman"/>
          <w:sz w:val="24"/>
          <w:szCs w:val="24"/>
        </w:rPr>
        <w:t>musculoskeletal disorders or respiratory problems</w:t>
      </w:r>
      <w:r w:rsidR="003A0B20">
        <w:rPr>
          <w:rFonts w:ascii="Times New Roman" w:hAnsi="Times New Roman" w:cs="Times New Roman"/>
          <w:sz w:val="24"/>
          <w:szCs w:val="24"/>
        </w:rPr>
        <w:t xml:space="preserve"> (</w:t>
      </w:r>
      <w:proofErr w:type="spellStart"/>
      <w:r w:rsidR="003A0B20">
        <w:rPr>
          <w:rFonts w:ascii="Times New Roman" w:hAnsi="Times New Roman" w:cs="Times New Roman"/>
          <w:sz w:val="24"/>
          <w:szCs w:val="24"/>
          <w:lang w:val="en-GB"/>
        </w:rPr>
        <w:t>Ayis</w:t>
      </w:r>
      <w:proofErr w:type="spellEnd"/>
      <w:r w:rsidR="003A0B20">
        <w:rPr>
          <w:rFonts w:ascii="Times New Roman" w:hAnsi="Times New Roman" w:cs="Times New Roman"/>
          <w:sz w:val="24"/>
          <w:szCs w:val="24"/>
          <w:lang w:val="en-GB"/>
        </w:rPr>
        <w:t xml:space="preserve">, </w:t>
      </w:r>
      <w:proofErr w:type="spellStart"/>
      <w:r w:rsidR="003A0B20">
        <w:rPr>
          <w:rFonts w:ascii="Times New Roman" w:hAnsi="Times New Roman" w:cs="Times New Roman"/>
          <w:sz w:val="24"/>
          <w:szCs w:val="24"/>
          <w:lang w:val="en-GB"/>
        </w:rPr>
        <w:t>Gooberman</w:t>
      </w:r>
      <w:proofErr w:type="spellEnd"/>
      <w:r w:rsidR="003A0B20">
        <w:rPr>
          <w:rFonts w:ascii="Times New Roman" w:hAnsi="Times New Roman" w:cs="Times New Roman"/>
          <w:sz w:val="24"/>
          <w:szCs w:val="24"/>
          <w:lang w:val="en-GB"/>
        </w:rPr>
        <w:t xml:space="preserve">-Hill, </w:t>
      </w:r>
      <w:proofErr w:type="spellStart"/>
      <w:r w:rsidR="003A0B20">
        <w:rPr>
          <w:rFonts w:ascii="Times New Roman" w:hAnsi="Times New Roman" w:cs="Times New Roman"/>
          <w:sz w:val="24"/>
          <w:szCs w:val="24"/>
          <w:lang w:val="en-GB"/>
        </w:rPr>
        <w:t>Ebrahim</w:t>
      </w:r>
      <w:proofErr w:type="spellEnd"/>
      <w:r w:rsidR="003A0B20">
        <w:rPr>
          <w:rFonts w:ascii="Times New Roman" w:hAnsi="Times New Roman" w:cs="Times New Roman"/>
          <w:sz w:val="24"/>
          <w:szCs w:val="24"/>
          <w:lang w:val="en-GB"/>
        </w:rPr>
        <w:t>, &amp; MRC Health Services Research Collaboration, 2003)</w:t>
      </w:r>
      <w:r w:rsidR="00697A01">
        <w:rPr>
          <w:rFonts w:ascii="Times New Roman" w:hAnsi="Times New Roman" w:cs="Times New Roman"/>
          <w:sz w:val="24"/>
          <w:szCs w:val="24"/>
        </w:rPr>
        <w:t>,</w:t>
      </w:r>
      <w:r w:rsidR="00334C4B">
        <w:rPr>
          <w:rFonts w:ascii="Times New Roman" w:hAnsi="Times New Roman" w:cs="Times New Roman"/>
          <w:sz w:val="24"/>
          <w:szCs w:val="24"/>
        </w:rPr>
        <w:t xml:space="preserve"> </w:t>
      </w:r>
      <w:r>
        <w:rPr>
          <w:rFonts w:ascii="Times New Roman" w:hAnsi="Times New Roman" w:cs="Times New Roman"/>
          <w:sz w:val="24"/>
          <w:szCs w:val="24"/>
        </w:rPr>
        <w:t xml:space="preserve">and thus we may be over-estimating </w:t>
      </w:r>
      <w:r w:rsidR="00CD643E">
        <w:rPr>
          <w:rFonts w:ascii="Times New Roman" w:hAnsi="Times New Roman" w:cs="Times New Roman"/>
          <w:sz w:val="24"/>
          <w:szCs w:val="24"/>
        </w:rPr>
        <w:t xml:space="preserve">the </w:t>
      </w:r>
      <w:r>
        <w:rPr>
          <w:rFonts w:ascii="Times New Roman" w:hAnsi="Times New Roman" w:cs="Times New Roman"/>
          <w:sz w:val="24"/>
          <w:szCs w:val="24"/>
        </w:rPr>
        <w:t>prevalence of disability that can be specifically attributed to CHD.</w:t>
      </w:r>
      <w:r w:rsidR="00F77465">
        <w:rPr>
          <w:rFonts w:ascii="Times New Roman" w:hAnsi="Times New Roman" w:cs="Times New Roman"/>
          <w:sz w:val="24"/>
          <w:szCs w:val="24"/>
        </w:rPr>
        <w:t xml:space="preserve">  Conversely, the present study may have provided a more conse</w:t>
      </w:r>
      <w:r w:rsidR="0041120A">
        <w:rPr>
          <w:rFonts w:ascii="Times New Roman" w:hAnsi="Times New Roman" w:cs="Times New Roman"/>
          <w:sz w:val="24"/>
          <w:szCs w:val="24"/>
        </w:rPr>
        <w:t xml:space="preserve">rvative estimate of </w:t>
      </w:r>
      <w:r w:rsidR="00F77465">
        <w:rPr>
          <w:rFonts w:ascii="Times New Roman" w:hAnsi="Times New Roman" w:cs="Times New Roman"/>
          <w:sz w:val="24"/>
          <w:szCs w:val="24"/>
        </w:rPr>
        <w:t xml:space="preserve">disability </w:t>
      </w:r>
      <w:r w:rsidR="00962560">
        <w:rPr>
          <w:rFonts w:ascii="Times New Roman" w:hAnsi="Times New Roman" w:cs="Times New Roman"/>
          <w:sz w:val="24"/>
          <w:szCs w:val="24"/>
        </w:rPr>
        <w:t xml:space="preserve">as it was </w:t>
      </w:r>
      <w:r w:rsidR="00F77465">
        <w:rPr>
          <w:rFonts w:ascii="Times New Roman" w:hAnsi="Times New Roman" w:cs="Times New Roman"/>
          <w:sz w:val="24"/>
          <w:szCs w:val="24"/>
        </w:rPr>
        <w:t xml:space="preserve">focused on </w:t>
      </w:r>
      <w:r w:rsidR="00962560">
        <w:rPr>
          <w:rFonts w:ascii="Times New Roman" w:hAnsi="Times New Roman" w:cs="Times New Roman"/>
          <w:sz w:val="24"/>
          <w:szCs w:val="24"/>
        </w:rPr>
        <w:t xml:space="preserve">samples of </w:t>
      </w:r>
      <w:r w:rsidR="00F77465">
        <w:rPr>
          <w:rFonts w:ascii="Times New Roman" w:hAnsi="Times New Roman" w:cs="Times New Roman"/>
          <w:sz w:val="24"/>
          <w:szCs w:val="24"/>
        </w:rPr>
        <w:t>communit</w:t>
      </w:r>
      <w:r w:rsidR="00962560">
        <w:rPr>
          <w:rFonts w:ascii="Times New Roman" w:hAnsi="Times New Roman" w:cs="Times New Roman"/>
          <w:sz w:val="24"/>
          <w:szCs w:val="24"/>
        </w:rPr>
        <w:t>y-dwelling older adults and did not include those in residential care who are likely to have higher rates of chronic and limiting illness.</w:t>
      </w:r>
    </w:p>
    <w:p w:rsidR="00411035" w:rsidRDefault="00411035" w:rsidP="00461457">
      <w:pPr>
        <w:spacing w:after="0" w:line="360" w:lineRule="auto"/>
        <w:rPr>
          <w:rFonts w:ascii="Times New Roman" w:hAnsi="Times New Roman" w:cs="Times New Roman"/>
          <w:sz w:val="24"/>
          <w:szCs w:val="24"/>
        </w:rPr>
      </w:pPr>
    </w:p>
    <w:p w:rsidR="00464737" w:rsidRDefault="00464737"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Further limitations include the use of self-reported measures of CHD, disability, and risk factors; the use of different measures of depressive symptomatology in TILDA compared with the NIHS</w:t>
      </w:r>
      <w:r w:rsidR="00D45890">
        <w:rPr>
          <w:rFonts w:ascii="Times New Roman" w:hAnsi="Times New Roman" w:cs="Times New Roman"/>
          <w:sz w:val="24"/>
          <w:szCs w:val="24"/>
        </w:rPr>
        <w:t xml:space="preserve"> – the GHQ12 is a more global measure of common mental disorders whereas the CESD is specifically focused on depression</w:t>
      </w:r>
      <w:r w:rsidR="00B813A4">
        <w:rPr>
          <w:rFonts w:ascii="Times New Roman" w:hAnsi="Times New Roman" w:cs="Times New Roman"/>
          <w:sz w:val="24"/>
          <w:szCs w:val="24"/>
        </w:rPr>
        <w:t>; and different administration of the depression measures: interviewer-administered in TILDA and self-administered in the NIHS</w:t>
      </w:r>
      <w:r w:rsidR="00A653A7">
        <w:rPr>
          <w:rFonts w:ascii="Times New Roman" w:hAnsi="Times New Roman" w:cs="Times New Roman"/>
          <w:sz w:val="24"/>
          <w:szCs w:val="24"/>
        </w:rPr>
        <w:t>.</w:t>
      </w:r>
    </w:p>
    <w:p w:rsidR="00464737" w:rsidRDefault="00464737" w:rsidP="00461457">
      <w:pPr>
        <w:spacing w:after="0" w:line="360" w:lineRule="auto"/>
        <w:rPr>
          <w:rFonts w:ascii="Times New Roman" w:hAnsi="Times New Roman" w:cs="Times New Roman"/>
          <w:sz w:val="24"/>
          <w:szCs w:val="24"/>
        </w:rPr>
      </w:pPr>
    </w:p>
    <w:p w:rsidR="001B1A89" w:rsidRPr="001B1A89" w:rsidRDefault="001B1A89" w:rsidP="00461457">
      <w:pPr>
        <w:spacing w:after="0" w:line="360" w:lineRule="auto"/>
        <w:rPr>
          <w:rFonts w:ascii="Times New Roman" w:hAnsi="Times New Roman" w:cs="Times New Roman"/>
          <w:i/>
          <w:sz w:val="24"/>
          <w:szCs w:val="24"/>
          <w:lang w:val="en-US"/>
        </w:rPr>
      </w:pPr>
      <w:r w:rsidRPr="001B1A89">
        <w:rPr>
          <w:rFonts w:ascii="Times New Roman" w:hAnsi="Times New Roman" w:cs="Times New Roman"/>
          <w:i/>
          <w:sz w:val="24"/>
          <w:szCs w:val="24"/>
          <w:lang w:val="en-US"/>
        </w:rPr>
        <w:t>Policy implications</w:t>
      </w:r>
    </w:p>
    <w:p w:rsidR="00174746" w:rsidRDefault="006D0941"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The r</w:t>
      </w:r>
      <w:r w:rsidR="001B1A89" w:rsidRPr="002A7E1E">
        <w:rPr>
          <w:rFonts w:ascii="Times New Roman" w:hAnsi="Times New Roman" w:cs="Times New Roman"/>
          <w:sz w:val="24"/>
          <w:szCs w:val="24"/>
        </w:rPr>
        <w:t>esults of the present study</w:t>
      </w:r>
      <w:r w:rsidR="00873282">
        <w:rPr>
          <w:rFonts w:ascii="Times New Roman" w:hAnsi="Times New Roman" w:cs="Times New Roman"/>
          <w:sz w:val="24"/>
          <w:szCs w:val="24"/>
        </w:rPr>
        <w:t xml:space="preserve"> reinforce the importance of</w:t>
      </w:r>
      <w:r w:rsidR="001B1A89" w:rsidRPr="002A7E1E">
        <w:rPr>
          <w:rFonts w:ascii="Times New Roman" w:hAnsi="Times New Roman" w:cs="Times New Roman"/>
          <w:sz w:val="24"/>
          <w:szCs w:val="24"/>
        </w:rPr>
        <w:t xml:space="preserve"> </w:t>
      </w:r>
      <w:r w:rsidR="001B1A89">
        <w:rPr>
          <w:rFonts w:ascii="Times New Roman" w:hAnsi="Times New Roman" w:cs="Times New Roman"/>
          <w:sz w:val="24"/>
          <w:szCs w:val="24"/>
        </w:rPr>
        <w:t xml:space="preserve">increasing levels of </w:t>
      </w:r>
      <w:r w:rsidR="001B1A89" w:rsidRPr="002A7E1E">
        <w:rPr>
          <w:rFonts w:ascii="Times New Roman" w:hAnsi="Times New Roman" w:cs="Times New Roman"/>
          <w:sz w:val="24"/>
          <w:szCs w:val="24"/>
        </w:rPr>
        <w:t>physical</w:t>
      </w:r>
      <w:r w:rsidR="001B1A89">
        <w:rPr>
          <w:rFonts w:ascii="Times New Roman" w:hAnsi="Times New Roman" w:cs="Times New Roman"/>
          <w:sz w:val="24"/>
          <w:szCs w:val="24"/>
        </w:rPr>
        <w:t xml:space="preserve"> </w:t>
      </w:r>
      <w:r w:rsidR="001B1A89" w:rsidRPr="002A7E1E">
        <w:rPr>
          <w:rFonts w:ascii="Times New Roman" w:hAnsi="Times New Roman" w:cs="Times New Roman"/>
          <w:sz w:val="24"/>
          <w:szCs w:val="24"/>
        </w:rPr>
        <w:t>activit</w:t>
      </w:r>
      <w:r w:rsidR="00873282">
        <w:rPr>
          <w:rFonts w:ascii="Times New Roman" w:hAnsi="Times New Roman" w:cs="Times New Roman"/>
          <w:sz w:val="24"/>
          <w:szCs w:val="24"/>
        </w:rPr>
        <w:t xml:space="preserve">y and maintaining healthy </w:t>
      </w:r>
      <w:r w:rsidR="00BF4229">
        <w:rPr>
          <w:rFonts w:ascii="Times New Roman" w:hAnsi="Times New Roman" w:cs="Times New Roman"/>
          <w:sz w:val="24"/>
          <w:szCs w:val="24"/>
        </w:rPr>
        <w:t xml:space="preserve">weight </w:t>
      </w:r>
      <w:r w:rsidR="00873282">
        <w:rPr>
          <w:rFonts w:ascii="Times New Roman" w:hAnsi="Times New Roman" w:cs="Times New Roman"/>
          <w:sz w:val="24"/>
          <w:szCs w:val="24"/>
        </w:rPr>
        <w:t>in order to ameliorate the im</w:t>
      </w:r>
      <w:r w:rsidR="00A94E95">
        <w:rPr>
          <w:rFonts w:ascii="Times New Roman" w:hAnsi="Times New Roman" w:cs="Times New Roman"/>
          <w:sz w:val="24"/>
          <w:szCs w:val="24"/>
        </w:rPr>
        <w:t>pact of CHD on disability, areas th</w:t>
      </w:r>
      <w:r w:rsidR="006A0B10">
        <w:rPr>
          <w:rFonts w:ascii="Times New Roman" w:hAnsi="Times New Roman" w:cs="Times New Roman"/>
          <w:sz w:val="24"/>
          <w:szCs w:val="24"/>
        </w:rPr>
        <w:t xml:space="preserve">at are the </w:t>
      </w:r>
      <w:r w:rsidR="00BF4229">
        <w:rPr>
          <w:rFonts w:ascii="Times New Roman" w:hAnsi="Times New Roman" w:cs="Times New Roman"/>
          <w:sz w:val="24"/>
          <w:szCs w:val="24"/>
        </w:rPr>
        <w:t xml:space="preserve">central </w:t>
      </w:r>
      <w:r w:rsidR="006A0B10">
        <w:rPr>
          <w:rFonts w:ascii="Times New Roman" w:hAnsi="Times New Roman" w:cs="Times New Roman"/>
          <w:sz w:val="24"/>
          <w:szCs w:val="24"/>
        </w:rPr>
        <w:t xml:space="preserve">focus of </w:t>
      </w:r>
      <w:r w:rsidR="00A94E95">
        <w:rPr>
          <w:rFonts w:ascii="Times New Roman" w:hAnsi="Times New Roman" w:cs="Times New Roman"/>
          <w:sz w:val="24"/>
          <w:szCs w:val="24"/>
        </w:rPr>
        <w:t xml:space="preserve">cardiovascular-related </w:t>
      </w:r>
      <w:r w:rsidR="001B1A89" w:rsidRPr="002A7E1E">
        <w:rPr>
          <w:rFonts w:ascii="Times New Roman" w:hAnsi="Times New Roman" w:cs="Times New Roman"/>
          <w:sz w:val="24"/>
          <w:szCs w:val="24"/>
        </w:rPr>
        <w:t>public health initiatives</w:t>
      </w:r>
      <w:r w:rsidR="0041120A">
        <w:rPr>
          <w:rFonts w:ascii="Times New Roman" w:hAnsi="Times New Roman" w:cs="Times New Roman"/>
          <w:sz w:val="24"/>
          <w:szCs w:val="24"/>
        </w:rPr>
        <w:t xml:space="preserve"> </w:t>
      </w:r>
      <w:r w:rsidR="00BF4229">
        <w:rPr>
          <w:rFonts w:ascii="Times New Roman" w:hAnsi="Times New Roman" w:cs="Times New Roman"/>
          <w:sz w:val="24"/>
          <w:szCs w:val="24"/>
        </w:rPr>
        <w:t xml:space="preserve">both </w:t>
      </w:r>
      <w:r w:rsidR="00334C35">
        <w:rPr>
          <w:rFonts w:ascii="Times New Roman" w:hAnsi="Times New Roman" w:cs="Times New Roman"/>
          <w:sz w:val="24"/>
          <w:szCs w:val="24"/>
        </w:rPr>
        <w:t>in ROI and NI</w:t>
      </w:r>
      <w:r w:rsidR="003A0B20">
        <w:rPr>
          <w:rFonts w:ascii="Times New Roman" w:hAnsi="Times New Roman" w:cs="Times New Roman"/>
          <w:sz w:val="24"/>
          <w:szCs w:val="24"/>
        </w:rPr>
        <w:t xml:space="preserve"> (</w:t>
      </w:r>
      <w:r w:rsidR="003A0B20" w:rsidRPr="0057130B">
        <w:rPr>
          <w:rFonts w:ascii="Times New Roman" w:hAnsi="Times New Roman" w:cs="Times New Roman"/>
          <w:sz w:val="24"/>
          <w:szCs w:val="24"/>
          <w:lang w:val="en-GB"/>
        </w:rPr>
        <w:t>Department of H</w:t>
      </w:r>
      <w:r w:rsidR="003A0B20">
        <w:rPr>
          <w:rFonts w:ascii="Times New Roman" w:hAnsi="Times New Roman" w:cs="Times New Roman"/>
          <w:sz w:val="24"/>
          <w:szCs w:val="24"/>
          <w:lang w:val="en-GB"/>
        </w:rPr>
        <w:t>ealth &amp;</w:t>
      </w:r>
      <w:r w:rsidR="003A0B20" w:rsidRPr="0057130B">
        <w:rPr>
          <w:rFonts w:ascii="Times New Roman" w:hAnsi="Times New Roman" w:cs="Times New Roman"/>
          <w:sz w:val="24"/>
          <w:szCs w:val="24"/>
          <w:lang w:val="en-GB"/>
        </w:rPr>
        <w:t xml:space="preserve"> C</w:t>
      </w:r>
      <w:r w:rsidR="003A0B20">
        <w:rPr>
          <w:rFonts w:ascii="Times New Roman" w:hAnsi="Times New Roman" w:cs="Times New Roman"/>
          <w:sz w:val="24"/>
          <w:szCs w:val="24"/>
          <w:lang w:val="en-GB"/>
        </w:rPr>
        <w:t xml:space="preserve">hildren, 2010; </w:t>
      </w:r>
      <w:r w:rsidR="003A0B20" w:rsidRPr="00013CFB">
        <w:rPr>
          <w:rFonts w:ascii="Times New Roman" w:hAnsi="Times New Roman" w:cs="Times New Roman"/>
          <w:sz w:val="24"/>
          <w:szCs w:val="24"/>
          <w:lang w:val="en-US"/>
        </w:rPr>
        <w:t>Departmen</w:t>
      </w:r>
      <w:r w:rsidR="003A0B20">
        <w:rPr>
          <w:rFonts w:ascii="Times New Roman" w:hAnsi="Times New Roman" w:cs="Times New Roman"/>
          <w:sz w:val="24"/>
          <w:szCs w:val="24"/>
          <w:lang w:val="en-US"/>
        </w:rPr>
        <w:t>t of Health, Social Services &amp;</w:t>
      </w:r>
      <w:r w:rsidR="003A0B20" w:rsidRPr="00013CFB">
        <w:rPr>
          <w:rFonts w:ascii="Times New Roman" w:hAnsi="Times New Roman" w:cs="Times New Roman"/>
          <w:sz w:val="24"/>
          <w:szCs w:val="24"/>
          <w:lang w:val="en-US"/>
        </w:rPr>
        <w:t xml:space="preserve"> Public Safety</w:t>
      </w:r>
      <w:r w:rsidR="0035566B">
        <w:rPr>
          <w:rFonts w:ascii="Times New Roman" w:hAnsi="Times New Roman" w:cs="Times New Roman"/>
          <w:sz w:val="24"/>
          <w:szCs w:val="24"/>
          <w:lang w:val="en-US"/>
        </w:rPr>
        <w:t xml:space="preserve"> Northern Ireland [DHSSPSNI]</w:t>
      </w:r>
      <w:r w:rsidR="003A0B20">
        <w:rPr>
          <w:rFonts w:ascii="Times New Roman" w:hAnsi="Times New Roman" w:cs="Times New Roman"/>
          <w:sz w:val="24"/>
          <w:szCs w:val="24"/>
          <w:lang w:val="en-US"/>
        </w:rPr>
        <w:t xml:space="preserve">, </w:t>
      </w:r>
      <w:r w:rsidR="003A0B20">
        <w:rPr>
          <w:rFonts w:ascii="Times New Roman" w:hAnsi="Times New Roman" w:cs="Times New Roman"/>
          <w:sz w:val="24"/>
          <w:szCs w:val="24"/>
        </w:rPr>
        <w:t>2014)</w:t>
      </w:r>
      <w:r w:rsidR="00490C34">
        <w:rPr>
          <w:rFonts w:ascii="Times New Roman" w:hAnsi="Times New Roman" w:cs="Times New Roman"/>
          <w:sz w:val="24"/>
          <w:szCs w:val="24"/>
        </w:rPr>
        <w:t>.</w:t>
      </w:r>
      <w:r w:rsidR="001B1A89" w:rsidRPr="002A7E1E">
        <w:rPr>
          <w:rFonts w:ascii="Times New Roman" w:hAnsi="Times New Roman" w:cs="Times New Roman"/>
          <w:sz w:val="24"/>
          <w:szCs w:val="24"/>
        </w:rPr>
        <w:t xml:space="preserve">  Furthermore, </w:t>
      </w:r>
      <w:r>
        <w:rPr>
          <w:rFonts w:ascii="Times New Roman" w:hAnsi="Times New Roman" w:cs="Times New Roman"/>
          <w:sz w:val="24"/>
          <w:szCs w:val="24"/>
        </w:rPr>
        <w:t xml:space="preserve">in the present study </w:t>
      </w:r>
      <w:r w:rsidR="001B1A89" w:rsidRPr="002A7E1E">
        <w:rPr>
          <w:rFonts w:ascii="Times New Roman" w:hAnsi="Times New Roman" w:cs="Times New Roman"/>
          <w:sz w:val="24"/>
          <w:szCs w:val="24"/>
        </w:rPr>
        <w:t xml:space="preserve">depression </w:t>
      </w:r>
      <w:r>
        <w:rPr>
          <w:rFonts w:ascii="Times New Roman" w:hAnsi="Times New Roman" w:cs="Times New Roman"/>
          <w:sz w:val="24"/>
          <w:szCs w:val="24"/>
        </w:rPr>
        <w:t>had</w:t>
      </w:r>
      <w:r w:rsidR="001B1A89" w:rsidRPr="002A7E1E">
        <w:rPr>
          <w:rFonts w:ascii="Times New Roman" w:hAnsi="Times New Roman" w:cs="Times New Roman"/>
          <w:sz w:val="24"/>
          <w:szCs w:val="24"/>
        </w:rPr>
        <w:t xml:space="preserve"> strong associations with </w:t>
      </w:r>
      <w:r>
        <w:rPr>
          <w:rFonts w:ascii="Times New Roman" w:hAnsi="Times New Roman" w:cs="Times New Roman"/>
          <w:sz w:val="24"/>
          <w:szCs w:val="24"/>
        </w:rPr>
        <w:t xml:space="preserve">CHD-related </w:t>
      </w:r>
      <w:r w:rsidR="001B1A89" w:rsidRPr="002A7E1E">
        <w:rPr>
          <w:rFonts w:ascii="Times New Roman" w:hAnsi="Times New Roman" w:cs="Times New Roman"/>
          <w:sz w:val="24"/>
          <w:szCs w:val="24"/>
        </w:rPr>
        <w:t>disability, though the mechanisms of its effects</w:t>
      </w:r>
      <w:r w:rsidR="00BC70C7">
        <w:rPr>
          <w:rFonts w:ascii="Times New Roman" w:hAnsi="Times New Roman" w:cs="Times New Roman"/>
          <w:sz w:val="24"/>
          <w:szCs w:val="24"/>
        </w:rPr>
        <w:t xml:space="preserve"> in people with CHD</w:t>
      </w:r>
      <w:r w:rsidR="001B1A89" w:rsidRPr="002A7E1E">
        <w:rPr>
          <w:rFonts w:ascii="Times New Roman" w:hAnsi="Times New Roman" w:cs="Times New Roman"/>
          <w:sz w:val="24"/>
          <w:szCs w:val="24"/>
        </w:rPr>
        <w:t xml:space="preserve"> are not clearly understood</w:t>
      </w:r>
      <w:r w:rsidR="00A653A7">
        <w:rPr>
          <w:rFonts w:ascii="Times New Roman" w:hAnsi="Times New Roman" w:cs="Times New Roman"/>
          <w:sz w:val="24"/>
          <w:szCs w:val="24"/>
        </w:rPr>
        <w:t>,</w:t>
      </w:r>
      <w:r w:rsidR="00A653A7" w:rsidRPr="00A653A7">
        <w:rPr>
          <w:rFonts w:ascii="Times New Roman" w:hAnsi="Times New Roman" w:cs="Times New Roman"/>
          <w:sz w:val="24"/>
          <w:szCs w:val="24"/>
        </w:rPr>
        <w:t xml:space="preserve"> </w:t>
      </w:r>
      <w:r w:rsidR="00A653A7">
        <w:rPr>
          <w:rFonts w:ascii="Times New Roman" w:hAnsi="Times New Roman" w:cs="Times New Roman"/>
          <w:sz w:val="24"/>
          <w:szCs w:val="24"/>
        </w:rPr>
        <w:t xml:space="preserve">and its role in the manifestation of disability is complex. </w:t>
      </w:r>
      <w:r w:rsidR="005C4C90">
        <w:rPr>
          <w:rFonts w:ascii="Times New Roman" w:hAnsi="Times New Roman" w:cs="Times New Roman"/>
          <w:sz w:val="24"/>
          <w:szCs w:val="24"/>
        </w:rPr>
        <w:t xml:space="preserve"> </w:t>
      </w:r>
      <w:r w:rsidR="001B1A89" w:rsidRPr="002A7E1E">
        <w:rPr>
          <w:rFonts w:ascii="Times New Roman" w:hAnsi="Times New Roman" w:cs="Times New Roman"/>
          <w:sz w:val="24"/>
          <w:szCs w:val="24"/>
        </w:rPr>
        <w:t>There are</w:t>
      </w:r>
      <w:r w:rsidR="001B1A89">
        <w:rPr>
          <w:rFonts w:ascii="Times New Roman" w:hAnsi="Times New Roman" w:cs="Times New Roman"/>
          <w:sz w:val="24"/>
          <w:szCs w:val="24"/>
        </w:rPr>
        <w:t>,</w:t>
      </w:r>
      <w:r w:rsidR="001B1A89" w:rsidRPr="002A7E1E">
        <w:rPr>
          <w:rFonts w:ascii="Times New Roman" w:hAnsi="Times New Roman" w:cs="Times New Roman"/>
          <w:sz w:val="24"/>
          <w:szCs w:val="24"/>
        </w:rPr>
        <w:t xml:space="preserve"> therefore</w:t>
      </w:r>
      <w:r w:rsidR="001B1A89">
        <w:rPr>
          <w:rFonts w:ascii="Times New Roman" w:hAnsi="Times New Roman" w:cs="Times New Roman"/>
          <w:sz w:val="24"/>
          <w:szCs w:val="24"/>
        </w:rPr>
        <w:t>,</w:t>
      </w:r>
      <w:r w:rsidR="001B1A89" w:rsidRPr="002A7E1E">
        <w:rPr>
          <w:rFonts w:ascii="Times New Roman" w:hAnsi="Times New Roman" w:cs="Times New Roman"/>
          <w:sz w:val="24"/>
          <w:szCs w:val="24"/>
        </w:rPr>
        <w:t xml:space="preserve"> clear imperatives to focus future research on understanding the role of depression as it affects CHD and disability, and to continue efforts to support population-wide </w:t>
      </w:r>
      <w:r w:rsidR="001B1A89">
        <w:rPr>
          <w:rFonts w:ascii="Times New Roman" w:hAnsi="Times New Roman" w:cs="Times New Roman"/>
          <w:sz w:val="24"/>
          <w:szCs w:val="24"/>
        </w:rPr>
        <w:t xml:space="preserve">and patient focussed </w:t>
      </w:r>
      <w:r w:rsidR="001B1A89" w:rsidRPr="002A7E1E">
        <w:rPr>
          <w:rFonts w:ascii="Times New Roman" w:hAnsi="Times New Roman" w:cs="Times New Roman"/>
          <w:sz w:val="24"/>
          <w:szCs w:val="24"/>
        </w:rPr>
        <w:t>psychological well-being.</w:t>
      </w:r>
    </w:p>
    <w:p w:rsidR="00174746" w:rsidRDefault="00174746" w:rsidP="00461457">
      <w:pPr>
        <w:spacing w:after="0" w:line="360" w:lineRule="auto"/>
        <w:rPr>
          <w:rFonts w:ascii="Times New Roman" w:hAnsi="Times New Roman" w:cs="Times New Roman"/>
          <w:sz w:val="24"/>
          <w:szCs w:val="24"/>
        </w:rPr>
      </w:pPr>
    </w:p>
    <w:p w:rsidR="00334C35" w:rsidRDefault="00334C35" w:rsidP="00461457">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334C35" w:rsidRPr="00961DF1" w:rsidRDefault="00334C35" w:rsidP="00461457">
      <w:pPr>
        <w:spacing w:after="0" w:line="360" w:lineRule="auto"/>
        <w:rPr>
          <w:rFonts w:ascii="Times New Roman" w:hAnsi="Times New Roman" w:cs="Times New Roman"/>
          <w:b/>
          <w:sz w:val="28"/>
          <w:szCs w:val="28"/>
        </w:rPr>
      </w:pPr>
      <w:r w:rsidRPr="00961DF1">
        <w:rPr>
          <w:rFonts w:ascii="Times New Roman" w:hAnsi="Times New Roman" w:cs="Times New Roman"/>
          <w:b/>
          <w:sz w:val="28"/>
          <w:szCs w:val="28"/>
        </w:rPr>
        <w:t>Acknowledgements/funding</w:t>
      </w:r>
    </w:p>
    <w:p w:rsidR="0037729E"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We acknowledge Trinity College Dublin and the Department of Health, Social Services and Public Safety, Northern Ireland (DHSSPSNI) who manage the TILDA and NIHS surveys respectively</w:t>
      </w:r>
      <w:r w:rsidR="00BD3AA8">
        <w:rPr>
          <w:rFonts w:ascii="Times New Roman" w:hAnsi="Times New Roman" w:cs="Times New Roman"/>
          <w:sz w:val="24"/>
          <w:szCs w:val="24"/>
        </w:rPr>
        <w:t>.  TILDA data was a</w:t>
      </w:r>
      <w:r w:rsidR="00BD3AA8" w:rsidRPr="00BD3AA8">
        <w:rPr>
          <w:rFonts w:ascii="Times New Roman" w:hAnsi="Times New Roman" w:cs="Times New Roman"/>
          <w:sz w:val="24"/>
          <w:szCs w:val="24"/>
        </w:rPr>
        <w:t>ccessed via the Iris</w:t>
      </w:r>
      <w:r w:rsidR="00BD3AA8">
        <w:rPr>
          <w:rFonts w:ascii="Times New Roman" w:hAnsi="Times New Roman" w:cs="Times New Roman"/>
          <w:sz w:val="24"/>
          <w:szCs w:val="24"/>
        </w:rPr>
        <w:t>h Social Science Data Archive (</w:t>
      </w:r>
      <w:hyperlink r:id="rId15" w:history="1">
        <w:r w:rsidR="00BD3AA8" w:rsidRPr="00BD3AA8">
          <w:rPr>
            <w:rStyle w:val="Hyperlink"/>
            <w:rFonts w:ascii="Times New Roman" w:hAnsi="Times New Roman" w:cs="Times New Roman"/>
            <w:sz w:val="24"/>
            <w:szCs w:val="24"/>
          </w:rPr>
          <w:t>www.ucd.ie/issda</w:t>
        </w:r>
      </w:hyperlink>
      <w:r w:rsidR="00BD3AA8">
        <w:rPr>
          <w:rFonts w:ascii="Times New Roman" w:hAnsi="Times New Roman" w:cs="Times New Roman"/>
          <w:sz w:val="24"/>
          <w:szCs w:val="24"/>
        </w:rPr>
        <w:t>).</w:t>
      </w:r>
    </w:p>
    <w:p w:rsidR="00BD3AA8" w:rsidRDefault="00BD3AA8" w:rsidP="00461457">
      <w:pPr>
        <w:spacing w:after="0" w:line="360" w:lineRule="auto"/>
        <w:rPr>
          <w:rFonts w:ascii="Times New Roman" w:hAnsi="Times New Roman" w:cs="Times New Roman"/>
          <w:sz w:val="24"/>
          <w:szCs w:val="24"/>
        </w:rPr>
      </w:pPr>
    </w:p>
    <w:p w:rsidR="002514CE" w:rsidRPr="002514CE" w:rsidRDefault="002514CE" w:rsidP="00461457">
      <w:pPr>
        <w:spacing w:after="0" w:line="360" w:lineRule="auto"/>
        <w:rPr>
          <w:rFonts w:ascii="Times New Roman" w:hAnsi="Times New Roman" w:cs="Times New Roman"/>
          <w:b/>
          <w:sz w:val="28"/>
          <w:szCs w:val="28"/>
        </w:rPr>
      </w:pPr>
      <w:r w:rsidRPr="002514CE">
        <w:rPr>
          <w:rFonts w:ascii="Times New Roman" w:hAnsi="Times New Roman" w:cs="Times New Roman"/>
          <w:b/>
          <w:sz w:val="28"/>
          <w:szCs w:val="28"/>
        </w:rPr>
        <w:t>Declaration of Conflicting Interests</w:t>
      </w:r>
    </w:p>
    <w:p w:rsidR="00300019" w:rsidRDefault="002514CE"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The authors declare that there is no conflict of interest.</w:t>
      </w:r>
    </w:p>
    <w:p w:rsidR="0000395C" w:rsidRDefault="0000395C" w:rsidP="00461457">
      <w:pPr>
        <w:spacing w:after="0" w:line="360" w:lineRule="auto"/>
        <w:rPr>
          <w:rFonts w:ascii="Times New Roman" w:hAnsi="Times New Roman" w:cs="Times New Roman"/>
          <w:sz w:val="24"/>
          <w:szCs w:val="24"/>
        </w:rPr>
      </w:pPr>
    </w:p>
    <w:p w:rsidR="0000395C" w:rsidRPr="004E62A0" w:rsidRDefault="0000395C" w:rsidP="00461457">
      <w:pPr>
        <w:spacing w:after="0" w:line="360" w:lineRule="auto"/>
        <w:rPr>
          <w:rFonts w:ascii="Times New Roman" w:hAnsi="Times New Roman" w:cs="Times New Roman"/>
          <w:b/>
          <w:sz w:val="28"/>
          <w:szCs w:val="28"/>
        </w:rPr>
      </w:pPr>
      <w:r w:rsidRPr="004E62A0">
        <w:rPr>
          <w:rFonts w:ascii="Times New Roman" w:hAnsi="Times New Roman" w:cs="Times New Roman"/>
          <w:b/>
          <w:sz w:val="28"/>
          <w:szCs w:val="28"/>
        </w:rPr>
        <w:t>Funding</w:t>
      </w:r>
    </w:p>
    <w:p w:rsidR="00FC3917" w:rsidRDefault="00FC3917" w:rsidP="004614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study was funded by the Centre for Ageing and Research Development Ireland (CARDI).  SMC, JH, AK, and </w:t>
      </w:r>
      <w:r w:rsidRPr="00FD6DC8">
        <w:rPr>
          <w:rFonts w:ascii="Times New Roman" w:hAnsi="Times New Roman" w:cs="Times New Roman"/>
          <w:sz w:val="24"/>
          <w:szCs w:val="24"/>
        </w:rPr>
        <w:t>FK</w:t>
      </w:r>
      <w:r>
        <w:rPr>
          <w:rFonts w:ascii="Times New Roman" w:hAnsi="Times New Roman" w:cs="Times New Roman"/>
          <w:sz w:val="24"/>
          <w:szCs w:val="24"/>
        </w:rPr>
        <w:t xml:space="preserve"> </w:t>
      </w:r>
      <w:r w:rsidRPr="00FD6DC8">
        <w:rPr>
          <w:rFonts w:ascii="Times New Roman" w:hAnsi="Times New Roman" w:cs="Times New Roman"/>
          <w:sz w:val="24"/>
          <w:szCs w:val="24"/>
        </w:rPr>
        <w:t>are co-funded by the Centre of Excellence for Public Health (Northern Ireland) (grant number MR/K023241/1), a UKCRC Public Health Research Centre of Excellence.</w:t>
      </w:r>
    </w:p>
    <w:p w:rsidR="0000395C" w:rsidRDefault="0000395C" w:rsidP="00461457">
      <w:pPr>
        <w:spacing w:after="0" w:line="360" w:lineRule="auto"/>
        <w:rPr>
          <w:rFonts w:ascii="Times New Roman" w:hAnsi="Times New Roman" w:cs="Times New Roman"/>
          <w:sz w:val="24"/>
          <w:szCs w:val="24"/>
        </w:rPr>
      </w:pPr>
    </w:p>
    <w:p w:rsidR="00BC513F" w:rsidRDefault="002514CE" w:rsidP="00461457">
      <w:pPr>
        <w:spacing w:after="0" w:line="360" w:lineRule="auto"/>
        <w:rPr>
          <w:rFonts w:ascii="Times New Roman" w:hAnsi="Times New Roman" w:cs="Times New Roman"/>
          <w:b/>
          <w:sz w:val="28"/>
          <w:szCs w:val="28"/>
          <w:lang w:val="en-GB"/>
        </w:rPr>
      </w:pPr>
      <w:r w:rsidRPr="00AF5DD5">
        <w:rPr>
          <w:rFonts w:ascii="Times New Roman" w:hAnsi="Times New Roman" w:cs="Times New Roman"/>
          <w:b/>
          <w:bCs/>
          <w:sz w:val="28"/>
          <w:szCs w:val="28"/>
          <w:lang w:val="en-GB"/>
        </w:rPr>
        <w:t>Author contributions</w:t>
      </w:r>
    </w:p>
    <w:p w:rsidR="00FC3917" w:rsidRPr="00AF5DD5" w:rsidRDefault="00FC3917" w:rsidP="0046145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All authors contributed to the conception or design of the study, and to the acquisition, analysis, or interpretation of the data.  SMC drafted the manuscript.  All authors critically revised the manuscript, gave final approval, and agree to be accountable for all aspects of the work, ensuring integrity and accuracy.</w:t>
      </w:r>
    </w:p>
    <w:p w:rsidR="002514CE" w:rsidRPr="009F7F4C" w:rsidRDefault="002514CE" w:rsidP="00461457">
      <w:pPr>
        <w:spacing w:after="0" w:line="360" w:lineRule="auto"/>
        <w:rPr>
          <w:rFonts w:ascii="Times New Roman" w:hAnsi="Times New Roman" w:cs="Times New Roman"/>
          <w:sz w:val="24"/>
          <w:szCs w:val="24"/>
        </w:rPr>
      </w:pPr>
    </w:p>
    <w:p w:rsidR="009F7F4C" w:rsidRPr="00461457" w:rsidRDefault="009F7F4C" w:rsidP="00461457">
      <w:pPr>
        <w:spacing w:line="360" w:lineRule="auto"/>
        <w:rPr>
          <w:rFonts w:ascii="Times New Roman" w:hAnsi="Times New Roman" w:cs="Times New Roman"/>
          <w:sz w:val="24"/>
          <w:szCs w:val="24"/>
        </w:rPr>
      </w:pPr>
      <w:bookmarkStart w:id="6" w:name="_Toc402682933"/>
      <w:bookmarkStart w:id="7" w:name="_Toc403421095"/>
    </w:p>
    <w:p w:rsidR="00842FBC" w:rsidRDefault="00842FBC" w:rsidP="00461457">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E62283" w:rsidRPr="002514CE" w:rsidRDefault="00E62283" w:rsidP="00461457">
      <w:pPr>
        <w:spacing w:after="0" w:line="360" w:lineRule="auto"/>
        <w:rPr>
          <w:rFonts w:ascii="Times New Roman" w:hAnsi="Times New Roman" w:cs="Times New Roman"/>
          <w:b/>
          <w:sz w:val="24"/>
          <w:szCs w:val="24"/>
        </w:rPr>
      </w:pPr>
      <w:r w:rsidRPr="00A35301">
        <w:rPr>
          <w:rFonts w:ascii="Times New Roman" w:hAnsi="Times New Roman" w:cs="Times New Roman"/>
          <w:b/>
          <w:sz w:val="28"/>
          <w:szCs w:val="28"/>
        </w:rPr>
        <w:t>References</w:t>
      </w:r>
      <w:bookmarkEnd w:id="6"/>
      <w:bookmarkEnd w:id="7"/>
    </w:p>
    <w:p w:rsidR="00E16B33" w:rsidRDefault="00E16B33"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Adamson, J., </w:t>
      </w:r>
      <w:proofErr w:type="spellStart"/>
      <w:r>
        <w:rPr>
          <w:rFonts w:ascii="Times New Roman" w:hAnsi="Times New Roman" w:cs="Times New Roman"/>
          <w:sz w:val="24"/>
          <w:szCs w:val="24"/>
        </w:rPr>
        <w:t>Lawlor</w:t>
      </w:r>
      <w:proofErr w:type="spellEnd"/>
      <w:r>
        <w:rPr>
          <w:rFonts w:ascii="Times New Roman" w:hAnsi="Times New Roman" w:cs="Times New Roman"/>
          <w:sz w:val="24"/>
          <w:szCs w:val="24"/>
        </w:rPr>
        <w:t>, D.</w:t>
      </w:r>
      <w:r w:rsidR="002330AF">
        <w:rPr>
          <w:rFonts w:ascii="Times New Roman" w:hAnsi="Times New Roman" w:cs="Times New Roman"/>
          <w:sz w:val="24"/>
          <w:szCs w:val="24"/>
        </w:rPr>
        <w:t xml:space="preserve"> </w:t>
      </w:r>
      <w:r>
        <w:rPr>
          <w:rFonts w:ascii="Times New Roman" w:hAnsi="Times New Roman" w:cs="Times New Roman"/>
          <w:sz w:val="24"/>
          <w:szCs w:val="24"/>
        </w:rPr>
        <w:t>A.</w:t>
      </w:r>
      <w:r w:rsidRPr="004B3658">
        <w:rPr>
          <w:rFonts w:ascii="Times New Roman" w:hAnsi="Times New Roman" w:cs="Times New Roman"/>
          <w:sz w:val="24"/>
          <w:szCs w:val="24"/>
        </w:rPr>
        <w:t>,</w:t>
      </w:r>
      <w:r>
        <w:rPr>
          <w:rFonts w:ascii="Times New Roman" w:hAnsi="Times New Roman" w:cs="Times New Roman"/>
          <w:sz w:val="24"/>
          <w:szCs w:val="24"/>
        </w:rPr>
        <w:t xml:space="preserve"> &amp;</w:t>
      </w:r>
      <w:r w:rsidRPr="004B3658">
        <w:rPr>
          <w:rFonts w:ascii="Times New Roman" w:hAnsi="Times New Roman" w:cs="Times New Roman"/>
          <w:sz w:val="24"/>
          <w:szCs w:val="24"/>
        </w:rPr>
        <w:t xml:space="preserve"> </w:t>
      </w:r>
      <w:proofErr w:type="spellStart"/>
      <w:r>
        <w:rPr>
          <w:rFonts w:ascii="Times New Roman" w:hAnsi="Times New Roman" w:cs="Times New Roman"/>
          <w:sz w:val="24"/>
          <w:szCs w:val="24"/>
        </w:rPr>
        <w:t>Ebrahim</w:t>
      </w:r>
      <w:proofErr w:type="spellEnd"/>
      <w:r>
        <w:rPr>
          <w:rFonts w:ascii="Times New Roman" w:hAnsi="Times New Roman" w:cs="Times New Roman"/>
          <w:sz w:val="24"/>
          <w:szCs w:val="24"/>
        </w:rPr>
        <w:t xml:space="preserve">, S. (2004). </w:t>
      </w:r>
      <w:r w:rsidRPr="004B3658">
        <w:rPr>
          <w:rFonts w:ascii="Times New Roman" w:hAnsi="Times New Roman" w:cs="Times New Roman"/>
          <w:sz w:val="24"/>
          <w:szCs w:val="24"/>
        </w:rPr>
        <w:t xml:space="preserve">Chronic diseases, locomotor activity limitation and social </w:t>
      </w:r>
      <w:r>
        <w:rPr>
          <w:rFonts w:ascii="Times New Roman" w:hAnsi="Times New Roman" w:cs="Times New Roman"/>
          <w:sz w:val="24"/>
          <w:szCs w:val="24"/>
        </w:rPr>
        <w:t xml:space="preserve">participation in older women: </w:t>
      </w:r>
      <w:r w:rsidR="005161E9">
        <w:rPr>
          <w:rFonts w:ascii="Times New Roman" w:hAnsi="Times New Roman" w:cs="Times New Roman"/>
          <w:sz w:val="24"/>
          <w:szCs w:val="24"/>
        </w:rPr>
        <w:t>C</w:t>
      </w:r>
      <w:r w:rsidRPr="004B3658">
        <w:rPr>
          <w:rFonts w:ascii="Times New Roman" w:hAnsi="Times New Roman" w:cs="Times New Roman"/>
          <w:sz w:val="24"/>
          <w:szCs w:val="24"/>
        </w:rPr>
        <w:t>ross sectional survey of British Women’s Heart and Health Study</w:t>
      </w:r>
      <w:r>
        <w:rPr>
          <w:rFonts w:ascii="Times New Roman" w:hAnsi="Times New Roman" w:cs="Times New Roman"/>
          <w:sz w:val="24"/>
          <w:szCs w:val="24"/>
        </w:rPr>
        <w:t xml:space="preserve">. </w:t>
      </w:r>
      <w:r>
        <w:rPr>
          <w:rFonts w:ascii="Times New Roman" w:hAnsi="Times New Roman" w:cs="Times New Roman"/>
          <w:i/>
          <w:sz w:val="24"/>
          <w:szCs w:val="24"/>
        </w:rPr>
        <w:t>Age and Ageing,</w:t>
      </w:r>
      <w:r w:rsidRPr="002E177F">
        <w:rPr>
          <w:rFonts w:ascii="Times New Roman" w:hAnsi="Times New Roman" w:cs="Times New Roman"/>
          <w:i/>
          <w:sz w:val="24"/>
          <w:szCs w:val="24"/>
        </w:rPr>
        <w:t xml:space="preserve"> 33</w:t>
      </w:r>
      <w:r>
        <w:rPr>
          <w:rFonts w:ascii="Times New Roman" w:hAnsi="Times New Roman" w:cs="Times New Roman"/>
          <w:sz w:val="24"/>
          <w:szCs w:val="24"/>
        </w:rPr>
        <w:t>, 293-29</w:t>
      </w:r>
      <w:r w:rsidRPr="004B3658">
        <w:rPr>
          <w:rFonts w:ascii="Times New Roman" w:hAnsi="Times New Roman" w:cs="Times New Roman"/>
          <w:sz w:val="24"/>
          <w:szCs w:val="24"/>
        </w:rPr>
        <w:t>8</w:t>
      </w:r>
      <w:r>
        <w:rPr>
          <w:rFonts w:ascii="Times New Roman" w:hAnsi="Times New Roman" w:cs="Times New Roman"/>
          <w:sz w:val="24"/>
          <w:szCs w:val="24"/>
        </w:rPr>
        <w:t>.</w:t>
      </w:r>
    </w:p>
    <w:p w:rsidR="00E16B33" w:rsidRPr="00367400" w:rsidRDefault="00E16B33" w:rsidP="00461457">
      <w:pPr>
        <w:spacing w:after="0" w:line="360" w:lineRule="auto"/>
        <w:ind w:left="567" w:hanging="567"/>
        <w:rPr>
          <w:rFonts w:ascii="Times New Roman" w:hAnsi="Times New Roman" w:cs="Times New Roman"/>
          <w:sz w:val="24"/>
          <w:szCs w:val="24"/>
          <w:lang w:val="en-GB"/>
        </w:rPr>
      </w:pPr>
      <w:proofErr w:type="spellStart"/>
      <w:r>
        <w:rPr>
          <w:rFonts w:ascii="Times New Roman" w:hAnsi="Times New Roman" w:cs="Times New Roman"/>
          <w:sz w:val="24"/>
          <w:szCs w:val="24"/>
          <w:lang w:val="en-GB"/>
        </w:rPr>
        <w:t>Ayis</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Gooberman</w:t>
      </w:r>
      <w:proofErr w:type="spellEnd"/>
      <w:r>
        <w:rPr>
          <w:rFonts w:ascii="Times New Roman" w:hAnsi="Times New Roman" w:cs="Times New Roman"/>
          <w:sz w:val="24"/>
          <w:szCs w:val="24"/>
          <w:lang w:val="en-GB"/>
        </w:rPr>
        <w:t xml:space="preserve">-Hill, R., </w:t>
      </w:r>
      <w:proofErr w:type="spellStart"/>
      <w:r>
        <w:rPr>
          <w:rFonts w:ascii="Times New Roman" w:hAnsi="Times New Roman" w:cs="Times New Roman"/>
          <w:sz w:val="24"/>
          <w:szCs w:val="24"/>
          <w:lang w:val="en-GB"/>
        </w:rPr>
        <w:t>Ebrahim</w:t>
      </w:r>
      <w:proofErr w:type="spellEnd"/>
      <w:r>
        <w:rPr>
          <w:rFonts w:ascii="Times New Roman" w:hAnsi="Times New Roman" w:cs="Times New Roman"/>
          <w:sz w:val="24"/>
          <w:szCs w:val="24"/>
          <w:lang w:val="en-GB"/>
        </w:rPr>
        <w:t xml:space="preserve">, S., &amp; MRC Health Services Research Collaboration. (2003). Long-standing and limiting long-standing illness in older people: </w:t>
      </w:r>
      <w:r w:rsidR="005161E9">
        <w:rPr>
          <w:rFonts w:ascii="Times New Roman" w:hAnsi="Times New Roman" w:cs="Times New Roman"/>
          <w:sz w:val="24"/>
          <w:szCs w:val="24"/>
          <w:lang w:val="en-GB"/>
        </w:rPr>
        <w:t>As</w:t>
      </w:r>
      <w:r>
        <w:rPr>
          <w:rFonts w:ascii="Times New Roman" w:hAnsi="Times New Roman" w:cs="Times New Roman"/>
          <w:sz w:val="24"/>
          <w:szCs w:val="24"/>
          <w:lang w:val="en-GB"/>
        </w:rPr>
        <w:t xml:space="preserve">sociations with chronic diseases, psychosocial and environmental factors. </w:t>
      </w:r>
      <w:r w:rsidRPr="00B2365A">
        <w:rPr>
          <w:rFonts w:ascii="Times New Roman" w:hAnsi="Times New Roman" w:cs="Times New Roman"/>
          <w:i/>
          <w:sz w:val="24"/>
          <w:szCs w:val="24"/>
          <w:lang w:val="en-GB"/>
        </w:rPr>
        <w:t>Age</w:t>
      </w:r>
      <w:r>
        <w:rPr>
          <w:rFonts w:ascii="Times New Roman" w:hAnsi="Times New Roman" w:cs="Times New Roman"/>
          <w:i/>
          <w:sz w:val="24"/>
          <w:szCs w:val="24"/>
          <w:lang w:val="en-GB"/>
        </w:rPr>
        <w:t xml:space="preserve"> and</w:t>
      </w:r>
      <w:r w:rsidRPr="00B2365A">
        <w:rPr>
          <w:rFonts w:ascii="Times New Roman" w:hAnsi="Times New Roman" w:cs="Times New Roman"/>
          <w:i/>
          <w:sz w:val="24"/>
          <w:szCs w:val="24"/>
          <w:lang w:val="en-GB"/>
        </w:rPr>
        <w:t xml:space="preserve"> Ageing</w:t>
      </w:r>
      <w:r>
        <w:rPr>
          <w:rFonts w:ascii="Times New Roman" w:hAnsi="Times New Roman" w:cs="Times New Roman"/>
          <w:sz w:val="24"/>
          <w:szCs w:val="24"/>
          <w:lang w:val="en-GB"/>
        </w:rPr>
        <w:t>,</w:t>
      </w:r>
      <w:r w:rsidRPr="00C17E98">
        <w:rPr>
          <w:rFonts w:ascii="Times New Roman" w:hAnsi="Times New Roman" w:cs="Times New Roman"/>
          <w:i/>
          <w:sz w:val="24"/>
          <w:szCs w:val="24"/>
          <w:lang w:val="en-GB"/>
        </w:rPr>
        <w:t xml:space="preserve"> 32</w:t>
      </w:r>
      <w:r>
        <w:rPr>
          <w:rFonts w:ascii="Times New Roman" w:hAnsi="Times New Roman" w:cs="Times New Roman"/>
          <w:sz w:val="24"/>
          <w:szCs w:val="24"/>
          <w:lang w:val="en-GB"/>
        </w:rPr>
        <w:t>, 265-272.</w:t>
      </w:r>
    </w:p>
    <w:p w:rsidR="00E16B33" w:rsidRPr="00367400" w:rsidRDefault="004A4CE6" w:rsidP="00461457">
      <w:pPr>
        <w:spacing w:after="0" w:line="360" w:lineRule="auto"/>
        <w:ind w:left="567" w:hanging="567"/>
        <w:rPr>
          <w:rFonts w:ascii="Times New Roman" w:hAnsi="Times New Roman" w:cs="Times New Roman"/>
          <w:iCs/>
          <w:sz w:val="24"/>
          <w:szCs w:val="24"/>
        </w:rPr>
      </w:pPr>
      <w:proofErr w:type="spellStart"/>
      <w:r w:rsidRPr="004A4CE6">
        <w:rPr>
          <w:rStyle w:val="cit-title"/>
          <w:rFonts w:ascii="Times New Roman" w:hAnsi="Times New Roman" w:cs="Times New Roman"/>
          <w:sz w:val="24"/>
          <w:szCs w:val="24"/>
        </w:rPr>
        <w:t>Bähler</w:t>
      </w:r>
      <w:proofErr w:type="spellEnd"/>
      <w:r w:rsidRPr="004A4CE6">
        <w:rPr>
          <w:rStyle w:val="cit-title"/>
          <w:rFonts w:ascii="Times New Roman" w:hAnsi="Times New Roman" w:cs="Times New Roman"/>
          <w:sz w:val="24"/>
          <w:szCs w:val="24"/>
        </w:rPr>
        <w:t xml:space="preserve">, C., </w:t>
      </w:r>
      <w:proofErr w:type="spellStart"/>
      <w:r w:rsidRPr="004A4CE6">
        <w:rPr>
          <w:rStyle w:val="cit-title"/>
          <w:rFonts w:ascii="Times New Roman" w:hAnsi="Times New Roman" w:cs="Times New Roman"/>
          <w:sz w:val="24"/>
          <w:szCs w:val="24"/>
        </w:rPr>
        <w:t>Gutzwiller</w:t>
      </w:r>
      <w:proofErr w:type="spellEnd"/>
      <w:r w:rsidRPr="004A4CE6">
        <w:rPr>
          <w:rStyle w:val="cit-title"/>
          <w:rFonts w:ascii="Times New Roman" w:hAnsi="Times New Roman" w:cs="Times New Roman"/>
          <w:sz w:val="24"/>
          <w:szCs w:val="24"/>
        </w:rPr>
        <w:t xml:space="preserve">, </w:t>
      </w:r>
      <w:r>
        <w:rPr>
          <w:rStyle w:val="cit-title"/>
          <w:rFonts w:ascii="Times New Roman" w:hAnsi="Times New Roman" w:cs="Times New Roman"/>
          <w:sz w:val="24"/>
          <w:szCs w:val="24"/>
        </w:rPr>
        <w:t xml:space="preserve">F., Erne, P., &amp; </w:t>
      </w:r>
      <w:proofErr w:type="spellStart"/>
      <w:r>
        <w:rPr>
          <w:rStyle w:val="cit-title"/>
          <w:rFonts w:ascii="Times New Roman" w:hAnsi="Times New Roman" w:cs="Times New Roman"/>
          <w:sz w:val="24"/>
          <w:szCs w:val="24"/>
        </w:rPr>
        <w:t>Radovanovic</w:t>
      </w:r>
      <w:proofErr w:type="spellEnd"/>
      <w:r>
        <w:rPr>
          <w:rStyle w:val="cit-title"/>
          <w:rFonts w:ascii="Times New Roman" w:hAnsi="Times New Roman" w:cs="Times New Roman"/>
          <w:sz w:val="24"/>
          <w:szCs w:val="24"/>
        </w:rPr>
        <w:t>, D.</w:t>
      </w:r>
      <w:r w:rsidR="00E16B33">
        <w:rPr>
          <w:rStyle w:val="cit-title"/>
          <w:rFonts w:ascii="Times New Roman" w:hAnsi="Times New Roman" w:cs="Times New Roman"/>
          <w:sz w:val="24"/>
          <w:szCs w:val="24"/>
        </w:rPr>
        <w:t xml:space="preserve"> (2012). </w:t>
      </w:r>
      <w:r w:rsidR="00E16B33" w:rsidRPr="005B23AA">
        <w:rPr>
          <w:rStyle w:val="cit-title"/>
          <w:rFonts w:ascii="Times New Roman" w:hAnsi="Times New Roman" w:cs="Times New Roman"/>
          <w:sz w:val="24"/>
          <w:szCs w:val="24"/>
        </w:rPr>
        <w:t xml:space="preserve">Lower age at first myocardial infarction in female compared to male smokers. </w:t>
      </w:r>
      <w:r w:rsidR="00E16B33">
        <w:rPr>
          <w:rStyle w:val="HTMLCite"/>
          <w:rFonts w:ascii="Times New Roman" w:hAnsi="Times New Roman" w:cs="Times New Roman"/>
          <w:sz w:val="24"/>
          <w:szCs w:val="24"/>
        </w:rPr>
        <w:t>European Journal of Preventive Cardiology, 19</w:t>
      </w:r>
      <w:r w:rsidR="00E16B33">
        <w:rPr>
          <w:rStyle w:val="cit-sep"/>
          <w:rFonts w:ascii="Times New Roman" w:hAnsi="Times New Roman" w:cs="Times New Roman"/>
          <w:iCs/>
          <w:sz w:val="24"/>
          <w:szCs w:val="24"/>
        </w:rPr>
        <w:t xml:space="preserve">, </w:t>
      </w:r>
      <w:r w:rsidR="00E16B33" w:rsidRPr="005B23AA">
        <w:rPr>
          <w:rStyle w:val="cit-first-page"/>
          <w:rFonts w:ascii="Times New Roman" w:hAnsi="Times New Roman" w:cs="Times New Roman"/>
          <w:iCs/>
          <w:sz w:val="24"/>
          <w:szCs w:val="24"/>
        </w:rPr>
        <w:t>1184</w:t>
      </w:r>
      <w:r w:rsidR="00E16B33" w:rsidRPr="005B23AA">
        <w:rPr>
          <w:rStyle w:val="cit-sep"/>
          <w:rFonts w:ascii="Times New Roman" w:hAnsi="Times New Roman" w:cs="Times New Roman"/>
          <w:iCs/>
          <w:sz w:val="24"/>
          <w:szCs w:val="24"/>
        </w:rPr>
        <w:t>-</w:t>
      </w:r>
      <w:r w:rsidR="00E16B33">
        <w:rPr>
          <w:rStyle w:val="cit-sep"/>
          <w:rFonts w:ascii="Times New Roman" w:hAnsi="Times New Roman" w:cs="Times New Roman"/>
          <w:iCs/>
          <w:sz w:val="24"/>
          <w:szCs w:val="24"/>
        </w:rPr>
        <w:t>11</w:t>
      </w:r>
      <w:r w:rsidR="00E16B33" w:rsidRPr="005B23AA">
        <w:rPr>
          <w:rStyle w:val="cit-last-page"/>
          <w:rFonts w:ascii="Times New Roman" w:hAnsi="Times New Roman" w:cs="Times New Roman"/>
          <w:iCs/>
          <w:sz w:val="24"/>
          <w:szCs w:val="24"/>
        </w:rPr>
        <w:t>93</w:t>
      </w:r>
      <w:r w:rsidR="00E16B33" w:rsidRPr="005B23AA">
        <w:rPr>
          <w:rStyle w:val="cit-sep"/>
          <w:rFonts w:ascii="Times New Roman" w:hAnsi="Times New Roman" w:cs="Times New Roman"/>
          <w:iCs/>
          <w:sz w:val="24"/>
          <w:szCs w:val="24"/>
        </w:rPr>
        <w:t>.</w:t>
      </w:r>
    </w:p>
    <w:p w:rsidR="00624E8D" w:rsidRDefault="004A4CE6" w:rsidP="00461457">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Bajekal</w:t>
      </w:r>
      <w:proofErr w:type="spellEnd"/>
      <w:r>
        <w:rPr>
          <w:rFonts w:ascii="Times New Roman" w:hAnsi="Times New Roman" w:cs="Times New Roman"/>
          <w:sz w:val="24"/>
          <w:szCs w:val="24"/>
        </w:rPr>
        <w:t>, M., Scholes, S., O’</w:t>
      </w:r>
      <w:r w:rsidRPr="00415A4B">
        <w:rPr>
          <w:rFonts w:ascii="Times New Roman" w:hAnsi="Times New Roman" w:cs="Times New Roman"/>
          <w:sz w:val="24"/>
          <w:szCs w:val="24"/>
        </w:rPr>
        <w:t>Flaherty</w:t>
      </w:r>
      <w:r>
        <w:rPr>
          <w:rFonts w:ascii="Times New Roman" w:hAnsi="Times New Roman" w:cs="Times New Roman"/>
          <w:sz w:val="24"/>
          <w:szCs w:val="24"/>
        </w:rPr>
        <w:t>,</w:t>
      </w:r>
      <w:r w:rsidRPr="00415A4B">
        <w:rPr>
          <w:rFonts w:ascii="Times New Roman" w:hAnsi="Times New Roman" w:cs="Times New Roman"/>
          <w:sz w:val="24"/>
          <w:szCs w:val="24"/>
        </w:rPr>
        <w:t xml:space="preserve"> M</w:t>
      </w:r>
      <w:r>
        <w:rPr>
          <w:rFonts w:ascii="Times New Roman" w:hAnsi="Times New Roman" w:cs="Times New Roman"/>
          <w:sz w:val="24"/>
          <w:szCs w:val="24"/>
        </w:rPr>
        <w:t>.</w:t>
      </w:r>
      <w:r w:rsidRPr="00415A4B">
        <w:rPr>
          <w:rFonts w:ascii="Times New Roman" w:hAnsi="Times New Roman" w:cs="Times New Roman"/>
          <w:sz w:val="24"/>
          <w:szCs w:val="24"/>
        </w:rPr>
        <w:t xml:space="preserve">, </w:t>
      </w:r>
      <w:proofErr w:type="spellStart"/>
      <w:r w:rsidRPr="00415A4B">
        <w:rPr>
          <w:rFonts w:ascii="Times New Roman" w:hAnsi="Times New Roman" w:cs="Times New Roman"/>
          <w:sz w:val="24"/>
          <w:szCs w:val="24"/>
        </w:rPr>
        <w:t>Raine</w:t>
      </w:r>
      <w:proofErr w:type="spellEnd"/>
      <w:r>
        <w:rPr>
          <w:rFonts w:ascii="Times New Roman" w:hAnsi="Times New Roman" w:cs="Times New Roman"/>
          <w:sz w:val="24"/>
          <w:szCs w:val="24"/>
        </w:rPr>
        <w:t>,</w:t>
      </w:r>
      <w:r w:rsidRPr="00415A4B">
        <w:rPr>
          <w:rFonts w:ascii="Times New Roman" w:hAnsi="Times New Roman" w:cs="Times New Roman"/>
          <w:sz w:val="24"/>
          <w:szCs w:val="24"/>
        </w:rPr>
        <w:t xml:space="preserve"> R</w:t>
      </w:r>
      <w:r>
        <w:rPr>
          <w:rFonts w:ascii="Times New Roman" w:hAnsi="Times New Roman" w:cs="Times New Roman"/>
          <w:sz w:val="24"/>
          <w:szCs w:val="24"/>
        </w:rPr>
        <w:t>.</w:t>
      </w:r>
      <w:r w:rsidRPr="00415A4B">
        <w:rPr>
          <w:rFonts w:ascii="Times New Roman" w:hAnsi="Times New Roman" w:cs="Times New Roman"/>
          <w:sz w:val="24"/>
          <w:szCs w:val="24"/>
        </w:rPr>
        <w:t>, Norman</w:t>
      </w:r>
      <w:r>
        <w:rPr>
          <w:rFonts w:ascii="Times New Roman" w:hAnsi="Times New Roman" w:cs="Times New Roman"/>
          <w:sz w:val="24"/>
          <w:szCs w:val="24"/>
        </w:rPr>
        <w:t>,</w:t>
      </w:r>
      <w:r w:rsidRPr="00415A4B">
        <w:rPr>
          <w:rFonts w:ascii="Times New Roman" w:hAnsi="Times New Roman" w:cs="Times New Roman"/>
          <w:sz w:val="24"/>
          <w:szCs w:val="24"/>
        </w:rPr>
        <w:t xml:space="preserve"> P</w:t>
      </w:r>
      <w:r>
        <w:rPr>
          <w:rFonts w:ascii="Times New Roman" w:hAnsi="Times New Roman" w:cs="Times New Roman"/>
          <w:sz w:val="24"/>
          <w:szCs w:val="24"/>
        </w:rPr>
        <w:t>.</w:t>
      </w:r>
      <w:r w:rsidRPr="00415A4B">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415A4B">
        <w:rPr>
          <w:rFonts w:ascii="Times New Roman" w:hAnsi="Times New Roman" w:cs="Times New Roman"/>
          <w:sz w:val="24"/>
          <w:szCs w:val="24"/>
        </w:rPr>
        <w:t>Capewell</w:t>
      </w:r>
      <w:proofErr w:type="spellEnd"/>
      <w:r>
        <w:rPr>
          <w:rFonts w:ascii="Times New Roman" w:hAnsi="Times New Roman" w:cs="Times New Roman"/>
          <w:sz w:val="24"/>
          <w:szCs w:val="24"/>
        </w:rPr>
        <w:t>, S.</w:t>
      </w:r>
      <w:r w:rsidR="00E16B33">
        <w:rPr>
          <w:rFonts w:ascii="Times New Roman" w:hAnsi="Times New Roman" w:cs="Times New Roman"/>
          <w:sz w:val="24"/>
          <w:szCs w:val="24"/>
        </w:rPr>
        <w:t xml:space="preserve"> (2013)</w:t>
      </w:r>
      <w:r w:rsidR="00E16B33" w:rsidRPr="001F374B">
        <w:rPr>
          <w:rFonts w:ascii="Times New Roman" w:hAnsi="Times New Roman" w:cs="Times New Roman"/>
          <w:sz w:val="24"/>
          <w:szCs w:val="24"/>
        </w:rPr>
        <w:t>.</w:t>
      </w:r>
      <w:r w:rsidR="00E16B33">
        <w:rPr>
          <w:rFonts w:ascii="Times New Roman" w:hAnsi="Times New Roman" w:cs="Times New Roman"/>
          <w:sz w:val="24"/>
          <w:szCs w:val="24"/>
        </w:rPr>
        <w:t xml:space="preserve"> </w:t>
      </w:r>
      <w:r w:rsidR="00E16B33" w:rsidRPr="001F374B">
        <w:rPr>
          <w:rFonts w:ascii="Times New Roman" w:hAnsi="Times New Roman" w:cs="Times New Roman"/>
          <w:sz w:val="24"/>
          <w:szCs w:val="24"/>
        </w:rPr>
        <w:t xml:space="preserve">Unequal trends in coronary heart disease mortality by socioeconomic circumstances, England 1982-2006: </w:t>
      </w:r>
      <w:r w:rsidR="005161E9">
        <w:rPr>
          <w:rFonts w:ascii="Times New Roman" w:hAnsi="Times New Roman" w:cs="Times New Roman"/>
          <w:sz w:val="24"/>
          <w:szCs w:val="24"/>
        </w:rPr>
        <w:t>A</w:t>
      </w:r>
      <w:r w:rsidR="00E16B33" w:rsidRPr="001F374B">
        <w:rPr>
          <w:rFonts w:ascii="Times New Roman" w:hAnsi="Times New Roman" w:cs="Times New Roman"/>
          <w:sz w:val="24"/>
          <w:szCs w:val="24"/>
        </w:rPr>
        <w:t xml:space="preserve">n analytical study. </w:t>
      </w:r>
      <w:proofErr w:type="spellStart"/>
      <w:r w:rsidR="00E16B33">
        <w:rPr>
          <w:rFonts w:ascii="Times New Roman" w:hAnsi="Times New Roman" w:cs="Times New Roman"/>
          <w:i/>
          <w:sz w:val="24"/>
          <w:szCs w:val="24"/>
        </w:rPr>
        <w:t>PLoS</w:t>
      </w:r>
      <w:proofErr w:type="spellEnd"/>
      <w:r w:rsidR="00E16B33">
        <w:rPr>
          <w:rFonts w:ascii="Times New Roman" w:hAnsi="Times New Roman" w:cs="Times New Roman"/>
          <w:i/>
          <w:sz w:val="24"/>
          <w:szCs w:val="24"/>
        </w:rPr>
        <w:t xml:space="preserve"> One</w:t>
      </w:r>
      <w:r w:rsidR="00E16B33" w:rsidRPr="00FF1589">
        <w:rPr>
          <w:rFonts w:ascii="Times New Roman" w:hAnsi="Times New Roman" w:cs="Times New Roman"/>
          <w:i/>
          <w:sz w:val="24"/>
          <w:szCs w:val="24"/>
        </w:rPr>
        <w:t>, 8</w:t>
      </w:r>
      <w:r w:rsidR="00E16B33">
        <w:rPr>
          <w:rFonts w:ascii="Times New Roman" w:hAnsi="Times New Roman" w:cs="Times New Roman"/>
          <w:sz w:val="24"/>
          <w:szCs w:val="24"/>
        </w:rPr>
        <w:t xml:space="preserve">, </w:t>
      </w:r>
      <w:r w:rsidR="00E16B33" w:rsidRPr="001F374B">
        <w:rPr>
          <w:rFonts w:ascii="Times New Roman" w:hAnsi="Times New Roman" w:cs="Times New Roman"/>
          <w:sz w:val="24"/>
          <w:szCs w:val="24"/>
        </w:rPr>
        <w:t>e59608. doi:10.1371/journal.pone.0059608.</w:t>
      </w:r>
    </w:p>
    <w:p w:rsidR="00E16B33" w:rsidRPr="00624E8D" w:rsidRDefault="004A4CE6" w:rsidP="00461457">
      <w:pPr>
        <w:spacing w:after="0" w:line="360" w:lineRule="auto"/>
        <w:ind w:left="567" w:hanging="567"/>
        <w:rPr>
          <w:rFonts w:ascii="Times New Roman" w:hAnsi="Times New Roman" w:cs="Times New Roman"/>
          <w:sz w:val="24"/>
          <w:szCs w:val="24"/>
        </w:rPr>
      </w:pPr>
      <w:proofErr w:type="spellStart"/>
      <w:r w:rsidRPr="00CE21F5">
        <w:rPr>
          <w:rFonts w:ascii="Times New Roman" w:hAnsi="Times New Roman" w:cs="Times New Roman"/>
          <w:sz w:val="24"/>
          <w:szCs w:val="24"/>
          <w:lang w:val="en-US"/>
        </w:rPr>
        <w:t>Balanda</w:t>
      </w:r>
      <w:proofErr w:type="spellEnd"/>
      <w:r w:rsidRPr="00CE21F5">
        <w:rPr>
          <w:rFonts w:ascii="Times New Roman" w:hAnsi="Times New Roman" w:cs="Times New Roman"/>
          <w:sz w:val="24"/>
          <w:szCs w:val="24"/>
          <w:lang w:val="en-US"/>
        </w:rPr>
        <w:t>, K.</w:t>
      </w:r>
      <w:r w:rsidR="0093494D">
        <w:rPr>
          <w:rFonts w:ascii="Times New Roman" w:hAnsi="Times New Roman" w:cs="Times New Roman"/>
          <w:sz w:val="24"/>
          <w:szCs w:val="24"/>
          <w:lang w:val="en-US"/>
        </w:rPr>
        <w:t xml:space="preserve"> </w:t>
      </w:r>
      <w:r w:rsidRPr="00CE21F5">
        <w:rPr>
          <w:rFonts w:ascii="Times New Roman" w:hAnsi="Times New Roman" w:cs="Times New Roman"/>
          <w:sz w:val="24"/>
          <w:szCs w:val="24"/>
          <w:lang w:val="en-US"/>
        </w:rPr>
        <w:t xml:space="preserve">P., Barron, S., </w:t>
      </w:r>
      <w:proofErr w:type="spellStart"/>
      <w:r w:rsidRPr="00CE21F5">
        <w:rPr>
          <w:rFonts w:ascii="Times New Roman" w:hAnsi="Times New Roman" w:cs="Times New Roman"/>
          <w:sz w:val="24"/>
          <w:szCs w:val="24"/>
          <w:lang w:val="en-US"/>
        </w:rPr>
        <w:t>Fahy</w:t>
      </w:r>
      <w:proofErr w:type="spellEnd"/>
      <w:r w:rsidRPr="00CE21F5">
        <w:rPr>
          <w:rFonts w:ascii="Times New Roman" w:hAnsi="Times New Roman" w:cs="Times New Roman"/>
          <w:sz w:val="24"/>
          <w:szCs w:val="24"/>
          <w:lang w:val="en-US"/>
        </w:rPr>
        <w:t xml:space="preserve">, L., </w:t>
      </w:r>
      <w:r>
        <w:rPr>
          <w:rFonts w:ascii="Times New Roman" w:hAnsi="Times New Roman" w:cs="Times New Roman"/>
          <w:sz w:val="24"/>
          <w:szCs w:val="24"/>
          <w:lang w:val="en-US"/>
        </w:rPr>
        <w:t>&amp; McLaughlin, A.</w:t>
      </w:r>
      <w:r w:rsidR="00E16B33">
        <w:rPr>
          <w:rFonts w:ascii="Times New Roman" w:hAnsi="Times New Roman" w:cs="Times New Roman"/>
          <w:sz w:val="24"/>
          <w:szCs w:val="24"/>
          <w:lang w:val="en-US"/>
        </w:rPr>
        <w:t xml:space="preserve"> (2010). </w:t>
      </w:r>
      <w:r w:rsidR="00E16B33" w:rsidRPr="00E616DD">
        <w:rPr>
          <w:rFonts w:ascii="Times New Roman" w:hAnsi="Times New Roman" w:cs="Times New Roman"/>
          <w:i/>
          <w:sz w:val="24"/>
          <w:szCs w:val="24"/>
          <w:lang w:val="en-US"/>
        </w:rPr>
        <w:t>Ma</w:t>
      </w:r>
      <w:r w:rsidR="00E16B33">
        <w:rPr>
          <w:rFonts w:ascii="Times New Roman" w:hAnsi="Times New Roman" w:cs="Times New Roman"/>
          <w:i/>
          <w:sz w:val="24"/>
          <w:szCs w:val="24"/>
          <w:lang w:val="en-US"/>
        </w:rPr>
        <w:t>king chronic conditions count: h</w:t>
      </w:r>
      <w:r w:rsidR="00E16B33" w:rsidRPr="00E616DD">
        <w:rPr>
          <w:rFonts w:ascii="Times New Roman" w:hAnsi="Times New Roman" w:cs="Times New Roman"/>
          <w:i/>
          <w:sz w:val="24"/>
          <w:szCs w:val="24"/>
          <w:lang w:val="en-US"/>
        </w:rPr>
        <w:t>ypertension, stroke, coronary heart disease, diabetes. A systematic approach to estimating and forecasting population prevalence on the island of Ireland</w:t>
      </w:r>
      <w:r w:rsidR="00E16B33" w:rsidRPr="00CE21F5">
        <w:rPr>
          <w:rFonts w:ascii="Times New Roman" w:hAnsi="Times New Roman" w:cs="Times New Roman"/>
          <w:sz w:val="24"/>
          <w:szCs w:val="24"/>
          <w:lang w:val="en-US"/>
        </w:rPr>
        <w:t>. Dublin: Institute o</w:t>
      </w:r>
      <w:r w:rsidR="00E16B33">
        <w:rPr>
          <w:rFonts w:ascii="Times New Roman" w:hAnsi="Times New Roman" w:cs="Times New Roman"/>
          <w:sz w:val="24"/>
          <w:szCs w:val="24"/>
          <w:lang w:val="en-US"/>
        </w:rPr>
        <w:t>f Public Health in Ireland</w:t>
      </w:r>
      <w:r w:rsidR="00E16B33" w:rsidRPr="00CE21F5">
        <w:rPr>
          <w:rFonts w:ascii="Times New Roman" w:hAnsi="Times New Roman" w:cs="Times New Roman"/>
          <w:sz w:val="24"/>
          <w:szCs w:val="24"/>
          <w:lang w:val="en-US"/>
        </w:rPr>
        <w:t>.</w:t>
      </w:r>
    </w:p>
    <w:p w:rsidR="00E16B33" w:rsidRDefault="00E16B33" w:rsidP="00461457">
      <w:pPr>
        <w:spacing w:after="0" w:line="360" w:lineRule="auto"/>
        <w:ind w:left="567" w:hanging="567"/>
        <w:rPr>
          <w:rFonts w:ascii="Times New Roman" w:hAnsi="Times New Roman" w:cs="Times New Roman"/>
          <w:sz w:val="24"/>
          <w:szCs w:val="24"/>
        </w:rPr>
      </w:pPr>
      <w:r w:rsidRPr="00F147EA">
        <w:rPr>
          <w:rFonts w:ascii="Times New Roman" w:hAnsi="Times New Roman" w:cs="Times New Roman"/>
          <w:sz w:val="24"/>
          <w:szCs w:val="24"/>
        </w:rPr>
        <w:t xml:space="preserve">Beauchamp, A., </w:t>
      </w:r>
      <w:proofErr w:type="spellStart"/>
      <w:r w:rsidRPr="00F147EA">
        <w:rPr>
          <w:rFonts w:ascii="Times New Roman" w:hAnsi="Times New Roman" w:cs="Times New Roman"/>
          <w:sz w:val="24"/>
          <w:szCs w:val="24"/>
        </w:rPr>
        <w:t>Peeters</w:t>
      </w:r>
      <w:proofErr w:type="spellEnd"/>
      <w:r w:rsidRPr="00F147EA">
        <w:rPr>
          <w:rFonts w:ascii="Times New Roman" w:hAnsi="Times New Roman" w:cs="Times New Roman"/>
          <w:sz w:val="24"/>
          <w:szCs w:val="24"/>
        </w:rPr>
        <w:t xml:space="preserve">, A., Wolfe, R., </w:t>
      </w:r>
      <w:proofErr w:type="spellStart"/>
      <w:r w:rsidR="00F147EA" w:rsidRPr="00F147EA">
        <w:rPr>
          <w:rFonts w:ascii="Times New Roman" w:hAnsi="Times New Roman" w:cs="Times New Roman"/>
          <w:sz w:val="24"/>
          <w:szCs w:val="24"/>
        </w:rPr>
        <w:t>Turrell</w:t>
      </w:r>
      <w:proofErr w:type="spellEnd"/>
      <w:r w:rsidR="00F147EA" w:rsidRPr="00F147EA">
        <w:rPr>
          <w:rFonts w:ascii="Times New Roman" w:hAnsi="Times New Roman" w:cs="Times New Roman"/>
          <w:sz w:val="24"/>
          <w:szCs w:val="24"/>
        </w:rPr>
        <w:t xml:space="preserve">, G., </w:t>
      </w:r>
      <w:proofErr w:type="spellStart"/>
      <w:r w:rsidR="00F147EA" w:rsidRPr="00F147EA">
        <w:rPr>
          <w:rFonts w:ascii="Times New Roman" w:hAnsi="Times New Roman" w:cs="Times New Roman"/>
          <w:sz w:val="24"/>
          <w:szCs w:val="24"/>
        </w:rPr>
        <w:t>Harriss</w:t>
      </w:r>
      <w:proofErr w:type="spellEnd"/>
      <w:r w:rsidR="00F147EA" w:rsidRPr="00F147EA">
        <w:rPr>
          <w:rFonts w:ascii="Times New Roman" w:hAnsi="Times New Roman" w:cs="Times New Roman"/>
          <w:sz w:val="24"/>
          <w:szCs w:val="24"/>
        </w:rPr>
        <w:t>, L.</w:t>
      </w:r>
      <w:r w:rsidR="0093494D">
        <w:rPr>
          <w:rFonts w:ascii="Times New Roman" w:hAnsi="Times New Roman" w:cs="Times New Roman"/>
          <w:sz w:val="24"/>
          <w:szCs w:val="24"/>
        </w:rPr>
        <w:t xml:space="preserve"> </w:t>
      </w:r>
      <w:r w:rsidR="00F147EA" w:rsidRPr="00F147EA">
        <w:rPr>
          <w:rFonts w:ascii="Times New Roman" w:hAnsi="Times New Roman" w:cs="Times New Roman"/>
          <w:sz w:val="24"/>
          <w:szCs w:val="24"/>
        </w:rPr>
        <w:t>R., Giles, G.</w:t>
      </w:r>
      <w:r w:rsidR="0093494D">
        <w:rPr>
          <w:rFonts w:ascii="Times New Roman" w:hAnsi="Times New Roman" w:cs="Times New Roman"/>
          <w:sz w:val="24"/>
          <w:szCs w:val="24"/>
        </w:rPr>
        <w:t xml:space="preserve"> </w:t>
      </w:r>
      <w:r w:rsidR="00F147EA" w:rsidRPr="00F147EA">
        <w:rPr>
          <w:rFonts w:ascii="Times New Roman" w:hAnsi="Times New Roman" w:cs="Times New Roman"/>
          <w:sz w:val="24"/>
          <w:szCs w:val="24"/>
        </w:rPr>
        <w:t>G</w:t>
      </w:r>
      <w:proofErr w:type="gramStart"/>
      <w:r w:rsidR="00F147EA" w:rsidRPr="00F147EA">
        <w:rPr>
          <w:rFonts w:ascii="Times New Roman" w:hAnsi="Times New Roman" w:cs="Times New Roman"/>
          <w:sz w:val="24"/>
          <w:szCs w:val="24"/>
        </w:rPr>
        <w:t>., …</w:t>
      </w:r>
      <w:proofErr w:type="gramEnd"/>
      <w:r w:rsidR="00F147EA" w:rsidRPr="00F147EA">
        <w:rPr>
          <w:rFonts w:ascii="Times New Roman" w:hAnsi="Times New Roman" w:cs="Times New Roman"/>
          <w:sz w:val="24"/>
          <w:szCs w:val="24"/>
        </w:rPr>
        <w:t xml:space="preserve"> Tonkin,</w:t>
      </w:r>
      <w:r w:rsidR="00F147EA">
        <w:rPr>
          <w:rFonts w:ascii="Times New Roman" w:hAnsi="Times New Roman" w:cs="Times New Roman"/>
          <w:sz w:val="24"/>
          <w:szCs w:val="24"/>
        </w:rPr>
        <w:t xml:space="preserve"> A.</w:t>
      </w:r>
      <w:r>
        <w:rPr>
          <w:rFonts w:ascii="Times New Roman" w:hAnsi="Times New Roman" w:cs="Times New Roman"/>
          <w:sz w:val="24"/>
          <w:szCs w:val="24"/>
        </w:rPr>
        <w:t xml:space="preserve"> (2010). </w:t>
      </w:r>
      <w:r w:rsidRPr="00A976E4">
        <w:rPr>
          <w:rFonts w:ascii="Times New Roman" w:hAnsi="Times New Roman" w:cs="Times New Roman"/>
          <w:sz w:val="24"/>
          <w:szCs w:val="24"/>
        </w:rPr>
        <w:t>Inequalities in cardiovascular disease</w:t>
      </w:r>
      <w:r>
        <w:rPr>
          <w:rFonts w:ascii="Times New Roman" w:hAnsi="Times New Roman" w:cs="Times New Roman"/>
          <w:sz w:val="24"/>
          <w:szCs w:val="24"/>
        </w:rPr>
        <w:t xml:space="preserve"> mortality: </w:t>
      </w:r>
      <w:r w:rsidR="005161E9">
        <w:rPr>
          <w:rFonts w:ascii="Times New Roman" w:hAnsi="Times New Roman" w:cs="Times New Roman"/>
          <w:sz w:val="24"/>
          <w:szCs w:val="24"/>
        </w:rPr>
        <w:t>T</w:t>
      </w:r>
      <w:r w:rsidRPr="00757C62">
        <w:rPr>
          <w:rFonts w:ascii="Times New Roman" w:hAnsi="Times New Roman" w:cs="Times New Roman"/>
          <w:sz w:val="24"/>
          <w:szCs w:val="24"/>
        </w:rPr>
        <w:t xml:space="preserve">he role of behavioural, physiological and social </w:t>
      </w:r>
      <w:r w:rsidRPr="00757C62">
        <w:rPr>
          <w:rFonts w:ascii="Times New Roman" w:hAnsi="Times New Roman" w:cs="Times New Roman"/>
          <w:sz w:val="24"/>
          <w:szCs w:val="24"/>
          <w:lang w:val="en-US"/>
        </w:rPr>
        <w:t xml:space="preserve">risk factors. </w:t>
      </w:r>
      <w:r>
        <w:rPr>
          <w:rFonts w:ascii="Times New Roman" w:hAnsi="Times New Roman" w:cs="Times New Roman"/>
          <w:i/>
          <w:sz w:val="24"/>
          <w:szCs w:val="24"/>
          <w:lang w:val="en-US"/>
        </w:rPr>
        <w:t>Journal of Epidemiology and Community Health,</w:t>
      </w:r>
      <w:r w:rsidR="00C54D24">
        <w:rPr>
          <w:rFonts w:ascii="Times New Roman" w:hAnsi="Times New Roman" w:cs="Times New Roman"/>
          <w:i/>
          <w:sz w:val="24"/>
          <w:szCs w:val="24"/>
          <w:lang w:val="en-US"/>
        </w:rPr>
        <w:t xml:space="preserve"> </w:t>
      </w:r>
      <w:r w:rsidRPr="002E177F">
        <w:rPr>
          <w:rFonts w:ascii="Times New Roman" w:hAnsi="Times New Roman" w:cs="Times New Roman"/>
          <w:i/>
          <w:sz w:val="24"/>
          <w:szCs w:val="24"/>
          <w:lang w:val="en-US"/>
        </w:rPr>
        <w:t>64</w:t>
      </w:r>
      <w:r>
        <w:rPr>
          <w:rFonts w:ascii="Times New Roman" w:hAnsi="Times New Roman" w:cs="Times New Roman"/>
          <w:sz w:val="24"/>
          <w:szCs w:val="24"/>
          <w:lang w:val="en-US"/>
        </w:rPr>
        <w:t>, 542-54</w:t>
      </w:r>
      <w:r w:rsidRPr="00757C62">
        <w:rPr>
          <w:rFonts w:ascii="Times New Roman" w:hAnsi="Times New Roman" w:cs="Times New Roman"/>
          <w:sz w:val="24"/>
          <w:szCs w:val="24"/>
          <w:lang w:val="en-US"/>
        </w:rPr>
        <w:t>8.</w:t>
      </w:r>
    </w:p>
    <w:p w:rsidR="0078504B" w:rsidRDefault="0078504B" w:rsidP="00461457">
      <w:pPr>
        <w:spacing w:after="0" w:line="360" w:lineRule="auto"/>
        <w:ind w:left="567" w:hanging="567"/>
        <w:rPr>
          <w:rFonts w:ascii="Times New Roman" w:hAnsi="Times New Roman" w:cs="Times New Roman"/>
          <w:sz w:val="24"/>
          <w:szCs w:val="24"/>
          <w:lang w:val="en-US"/>
        </w:rPr>
      </w:pPr>
      <w:r w:rsidRPr="001054E8">
        <w:rPr>
          <w:rFonts w:ascii="Times New Roman" w:hAnsi="Times New Roman" w:cs="Times New Roman"/>
          <w:sz w:val="24"/>
          <w:szCs w:val="24"/>
        </w:rPr>
        <w:t xml:space="preserve">Bennett, K., Hughes, J., Jennings, S., </w:t>
      </w:r>
      <w:r>
        <w:rPr>
          <w:rFonts w:ascii="Times New Roman" w:hAnsi="Times New Roman" w:cs="Times New Roman"/>
          <w:sz w:val="24"/>
          <w:szCs w:val="24"/>
        </w:rPr>
        <w:t>Kee, F., &amp; Shelley, E.</w:t>
      </w:r>
      <w:r w:rsidRPr="001054E8">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1054E8">
        <w:rPr>
          <w:rFonts w:ascii="Times New Roman" w:hAnsi="Times New Roman" w:cs="Times New Roman"/>
          <w:sz w:val="24"/>
          <w:szCs w:val="24"/>
        </w:rPr>
        <w:t xml:space="preserve">Comparing the decline in coronary heart disease and stroke mortality in neighbouring countries with different healthcare systems. </w:t>
      </w:r>
      <w:r>
        <w:rPr>
          <w:rFonts w:ascii="Times New Roman" w:hAnsi="Times New Roman" w:cs="Times New Roman"/>
          <w:i/>
          <w:sz w:val="24"/>
          <w:szCs w:val="24"/>
        </w:rPr>
        <w:t xml:space="preserve">Heart, </w:t>
      </w:r>
      <w:r w:rsidRPr="002E177F">
        <w:rPr>
          <w:rFonts w:ascii="Times New Roman" w:hAnsi="Times New Roman" w:cs="Times New Roman"/>
          <w:i/>
          <w:sz w:val="24"/>
          <w:szCs w:val="24"/>
        </w:rPr>
        <w:t>99</w:t>
      </w:r>
      <w:r>
        <w:rPr>
          <w:rFonts w:ascii="Times New Roman" w:hAnsi="Times New Roman" w:cs="Times New Roman"/>
          <w:sz w:val="24"/>
          <w:szCs w:val="24"/>
        </w:rPr>
        <w:t>, 1179-11</w:t>
      </w:r>
      <w:r w:rsidRPr="001054E8">
        <w:rPr>
          <w:rFonts w:ascii="Times New Roman" w:hAnsi="Times New Roman" w:cs="Times New Roman"/>
          <w:sz w:val="24"/>
          <w:szCs w:val="24"/>
        </w:rPr>
        <w:t>84.</w:t>
      </w:r>
    </w:p>
    <w:p w:rsidR="0078504B" w:rsidRDefault="0078504B" w:rsidP="00461457">
      <w:pPr>
        <w:spacing w:after="0" w:line="360" w:lineRule="auto"/>
        <w:ind w:left="567" w:hanging="567"/>
        <w:rPr>
          <w:rFonts w:ascii="Times New Roman" w:hAnsi="Times New Roman" w:cs="Times New Roman"/>
          <w:sz w:val="24"/>
          <w:szCs w:val="24"/>
          <w:lang w:val="en-US"/>
        </w:rPr>
      </w:pPr>
      <w:r w:rsidRPr="00B52507">
        <w:rPr>
          <w:rFonts w:ascii="Times New Roman" w:hAnsi="Times New Roman" w:cs="Times New Roman"/>
          <w:sz w:val="24"/>
          <w:szCs w:val="24"/>
          <w:lang w:val="en-US"/>
        </w:rPr>
        <w:t xml:space="preserve">Bennett, </w:t>
      </w:r>
      <w:r>
        <w:rPr>
          <w:rFonts w:ascii="Times New Roman" w:hAnsi="Times New Roman" w:cs="Times New Roman"/>
          <w:sz w:val="24"/>
          <w:szCs w:val="24"/>
          <w:lang w:val="en-US"/>
        </w:rPr>
        <w:t xml:space="preserve">K., </w:t>
      </w:r>
      <w:proofErr w:type="spellStart"/>
      <w:r w:rsidRPr="00B52507">
        <w:rPr>
          <w:rFonts w:ascii="Times New Roman" w:hAnsi="Times New Roman" w:cs="Times New Roman"/>
          <w:sz w:val="24"/>
          <w:szCs w:val="24"/>
          <w:lang w:val="en-US"/>
        </w:rPr>
        <w:t>Kabir</w:t>
      </w:r>
      <w:proofErr w:type="spellEnd"/>
      <w:r w:rsidRPr="00B525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 </w:t>
      </w:r>
      <w:proofErr w:type="spellStart"/>
      <w:r w:rsidRPr="00B52507">
        <w:rPr>
          <w:rFonts w:ascii="Times New Roman" w:hAnsi="Times New Roman" w:cs="Times New Roman"/>
          <w:sz w:val="24"/>
          <w:szCs w:val="24"/>
          <w:lang w:val="en-US"/>
        </w:rPr>
        <w:t>Unal</w:t>
      </w:r>
      <w:proofErr w:type="spellEnd"/>
      <w:r w:rsidRPr="00B525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Pr="00B52507">
        <w:rPr>
          <w:rFonts w:ascii="Times New Roman" w:hAnsi="Times New Roman" w:cs="Times New Roman"/>
          <w:sz w:val="24"/>
          <w:szCs w:val="24"/>
          <w:lang w:val="en-US"/>
        </w:rPr>
        <w:t xml:space="preserve">Shelley, </w:t>
      </w:r>
      <w:r>
        <w:rPr>
          <w:rFonts w:ascii="Times New Roman" w:hAnsi="Times New Roman" w:cs="Times New Roman"/>
          <w:sz w:val="24"/>
          <w:szCs w:val="24"/>
          <w:lang w:val="en-US"/>
        </w:rPr>
        <w:t xml:space="preserve">E., </w:t>
      </w:r>
      <w:r w:rsidRPr="00B52507">
        <w:rPr>
          <w:rFonts w:ascii="Times New Roman" w:hAnsi="Times New Roman" w:cs="Times New Roman"/>
          <w:sz w:val="24"/>
          <w:szCs w:val="24"/>
          <w:lang w:val="en-US"/>
        </w:rPr>
        <w:t xml:space="preserve">Critchley, </w:t>
      </w:r>
      <w:r>
        <w:rPr>
          <w:rFonts w:ascii="Times New Roman" w:hAnsi="Times New Roman" w:cs="Times New Roman"/>
          <w:sz w:val="24"/>
          <w:szCs w:val="24"/>
          <w:lang w:val="en-US"/>
        </w:rPr>
        <w:t xml:space="preserve">J., </w:t>
      </w:r>
      <w:r w:rsidRPr="00B52507">
        <w:rPr>
          <w:rFonts w:ascii="Times New Roman" w:hAnsi="Times New Roman" w:cs="Times New Roman"/>
          <w:sz w:val="24"/>
          <w:szCs w:val="24"/>
          <w:lang w:val="en-US"/>
        </w:rPr>
        <w:t xml:space="preserve">Perry, </w:t>
      </w:r>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spellStart"/>
      <w:r w:rsidRPr="00B52507">
        <w:rPr>
          <w:rFonts w:ascii="Times New Roman" w:hAnsi="Times New Roman" w:cs="Times New Roman"/>
          <w:sz w:val="24"/>
          <w:szCs w:val="24"/>
          <w:lang w:val="en-US"/>
        </w:rPr>
        <w:t>Capewell</w:t>
      </w:r>
      <w:proofErr w:type="spellEnd"/>
      <w:r>
        <w:rPr>
          <w:rFonts w:ascii="Times New Roman" w:hAnsi="Times New Roman" w:cs="Times New Roman"/>
          <w:sz w:val="24"/>
          <w:szCs w:val="24"/>
          <w:lang w:val="en-US"/>
        </w:rPr>
        <w:t xml:space="preserve">, S. (2006). </w:t>
      </w:r>
      <w:r w:rsidRPr="00B52507">
        <w:rPr>
          <w:rFonts w:ascii="Times New Roman" w:hAnsi="Times New Roman" w:cs="Times New Roman"/>
          <w:sz w:val="24"/>
          <w:szCs w:val="24"/>
          <w:lang w:val="en-US"/>
        </w:rPr>
        <w:t>Explaining the recent decrease in coronary heart disease m</w:t>
      </w:r>
      <w:r>
        <w:rPr>
          <w:rFonts w:ascii="Times New Roman" w:hAnsi="Times New Roman" w:cs="Times New Roman"/>
          <w:sz w:val="24"/>
          <w:szCs w:val="24"/>
          <w:lang w:val="en-US"/>
        </w:rPr>
        <w:t>ortality rates in Ireland, 1985-</w:t>
      </w:r>
      <w:r w:rsidRPr="00B52507">
        <w:rPr>
          <w:rFonts w:ascii="Times New Roman" w:hAnsi="Times New Roman" w:cs="Times New Roman"/>
          <w:sz w:val="24"/>
          <w:szCs w:val="24"/>
          <w:lang w:val="en-US"/>
        </w:rPr>
        <w:t>2000</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Journal of Epidemiology and </w:t>
      </w:r>
      <w:r w:rsidRPr="00E616DD">
        <w:rPr>
          <w:rFonts w:ascii="Times New Roman" w:hAnsi="Times New Roman" w:cs="Times New Roman"/>
          <w:i/>
          <w:sz w:val="24"/>
          <w:szCs w:val="24"/>
          <w:lang w:val="en-US"/>
        </w:rPr>
        <w:t>Community Health</w:t>
      </w:r>
      <w:r w:rsidRPr="002E177F">
        <w:rPr>
          <w:rFonts w:ascii="Times New Roman" w:hAnsi="Times New Roman" w:cs="Times New Roman"/>
          <w:i/>
          <w:sz w:val="24"/>
          <w:szCs w:val="24"/>
          <w:lang w:val="en-US"/>
        </w:rPr>
        <w:t>, 60</w:t>
      </w:r>
      <w:r>
        <w:rPr>
          <w:rFonts w:ascii="Times New Roman" w:hAnsi="Times New Roman" w:cs="Times New Roman"/>
          <w:sz w:val="24"/>
          <w:szCs w:val="24"/>
          <w:lang w:val="en-US"/>
        </w:rPr>
        <w:t>, 322-32</w:t>
      </w:r>
      <w:r w:rsidRPr="00B52507">
        <w:rPr>
          <w:rFonts w:ascii="Times New Roman" w:hAnsi="Times New Roman" w:cs="Times New Roman"/>
          <w:sz w:val="24"/>
          <w:szCs w:val="24"/>
          <w:lang w:val="en-US"/>
        </w:rPr>
        <w:t>7</w:t>
      </w:r>
      <w:r>
        <w:rPr>
          <w:rFonts w:ascii="Times New Roman" w:hAnsi="Times New Roman" w:cs="Times New Roman"/>
          <w:sz w:val="24"/>
          <w:szCs w:val="24"/>
          <w:lang w:val="en-US"/>
        </w:rPr>
        <w:t>.</w:t>
      </w:r>
    </w:p>
    <w:p w:rsidR="00E16B33" w:rsidRDefault="004A4CE6" w:rsidP="00461457">
      <w:pPr>
        <w:spacing w:after="0" w:line="360" w:lineRule="auto"/>
        <w:ind w:left="567" w:hanging="567"/>
        <w:rPr>
          <w:rStyle w:val="cit-title"/>
          <w:rFonts w:ascii="Times New Roman" w:hAnsi="Times New Roman" w:cs="Times New Roman"/>
          <w:sz w:val="24"/>
          <w:szCs w:val="24"/>
        </w:rPr>
      </w:pPr>
      <w:proofErr w:type="spellStart"/>
      <w:r w:rsidRPr="0048469A">
        <w:rPr>
          <w:rFonts w:ascii="Times New Roman" w:hAnsi="Times New Roman" w:cs="Times New Roman"/>
          <w:sz w:val="24"/>
          <w:szCs w:val="24"/>
        </w:rPr>
        <w:t>Bonithon</w:t>
      </w:r>
      <w:proofErr w:type="spellEnd"/>
      <w:r w:rsidRPr="0048469A">
        <w:rPr>
          <w:rFonts w:ascii="Times New Roman" w:hAnsi="Times New Roman" w:cs="Times New Roman"/>
          <w:sz w:val="24"/>
          <w:szCs w:val="24"/>
        </w:rPr>
        <w:t>-Kopp</w:t>
      </w:r>
      <w:r w:rsidR="00F147EA">
        <w:rPr>
          <w:rFonts w:ascii="Times New Roman" w:hAnsi="Times New Roman" w:cs="Times New Roman"/>
          <w:sz w:val="24"/>
          <w:szCs w:val="24"/>
        </w:rPr>
        <w:t>,</w:t>
      </w:r>
      <w:r w:rsidRPr="0048469A">
        <w:rPr>
          <w:rFonts w:ascii="Times New Roman" w:hAnsi="Times New Roman" w:cs="Times New Roman"/>
          <w:sz w:val="24"/>
          <w:szCs w:val="24"/>
        </w:rPr>
        <w:t xml:space="preserve"> C</w:t>
      </w:r>
      <w:r w:rsidR="00F147EA">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Scarabin</w:t>
      </w:r>
      <w:proofErr w:type="spellEnd"/>
      <w:r w:rsidR="00F147EA">
        <w:rPr>
          <w:rFonts w:ascii="Times New Roman" w:hAnsi="Times New Roman" w:cs="Times New Roman"/>
          <w:sz w:val="24"/>
          <w:szCs w:val="24"/>
        </w:rPr>
        <w:t>,</w:t>
      </w:r>
      <w:r w:rsidRPr="0048469A">
        <w:rPr>
          <w:rFonts w:ascii="Times New Roman" w:hAnsi="Times New Roman" w:cs="Times New Roman"/>
          <w:sz w:val="24"/>
          <w:szCs w:val="24"/>
        </w:rPr>
        <w:t xml:space="preserve"> P-Y</w:t>
      </w:r>
      <w:r w:rsidR="00F147EA">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Darne</w:t>
      </w:r>
      <w:proofErr w:type="spellEnd"/>
      <w:r w:rsidR="00F147EA">
        <w:rPr>
          <w:rFonts w:ascii="Times New Roman" w:hAnsi="Times New Roman" w:cs="Times New Roman"/>
          <w:sz w:val="24"/>
          <w:szCs w:val="24"/>
        </w:rPr>
        <w:t>,</w:t>
      </w:r>
      <w:r w:rsidRPr="0048469A">
        <w:rPr>
          <w:rFonts w:ascii="Times New Roman" w:hAnsi="Times New Roman" w:cs="Times New Roman"/>
          <w:sz w:val="24"/>
          <w:szCs w:val="24"/>
        </w:rPr>
        <w:t xml:space="preserve"> B</w:t>
      </w:r>
      <w:r w:rsidR="00F147EA">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Malmejak</w:t>
      </w:r>
      <w:proofErr w:type="spellEnd"/>
      <w:r w:rsidR="00F147EA">
        <w:rPr>
          <w:rFonts w:ascii="Times New Roman" w:hAnsi="Times New Roman" w:cs="Times New Roman"/>
          <w:sz w:val="24"/>
          <w:szCs w:val="24"/>
        </w:rPr>
        <w:t>,</w:t>
      </w:r>
      <w:r w:rsidRPr="0048469A">
        <w:rPr>
          <w:rFonts w:ascii="Times New Roman" w:hAnsi="Times New Roman" w:cs="Times New Roman"/>
          <w:sz w:val="24"/>
          <w:szCs w:val="24"/>
        </w:rPr>
        <w:t xml:space="preserve"> A</w:t>
      </w:r>
      <w:r w:rsidR="00F147EA">
        <w:rPr>
          <w:rFonts w:ascii="Times New Roman" w:hAnsi="Times New Roman" w:cs="Times New Roman"/>
          <w:sz w:val="24"/>
          <w:szCs w:val="24"/>
        </w:rPr>
        <w:t>.</w:t>
      </w:r>
      <w:r w:rsidRPr="0048469A">
        <w:rPr>
          <w:rFonts w:ascii="Times New Roman" w:hAnsi="Times New Roman" w:cs="Times New Roman"/>
          <w:sz w:val="24"/>
          <w:szCs w:val="24"/>
        </w:rPr>
        <w:t xml:space="preserve">, </w:t>
      </w:r>
      <w:r w:rsidR="00F147EA">
        <w:rPr>
          <w:rFonts w:ascii="Times New Roman" w:hAnsi="Times New Roman" w:cs="Times New Roman"/>
          <w:sz w:val="24"/>
          <w:szCs w:val="24"/>
        </w:rPr>
        <w:t xml:space="preserve">&amp; </w:t>
      </w:r>
      <w:proofErr w:type="spellStart"/>
      <w:r w:rsidRPr="0048469A">
        <w:rPr>
          <w:rFonts w:ascii="Times New Roman" w:hAnsi="Times New Roman" w:cs="Times New Roman"/>
          <w:sz w:val="24"/>
          <w:szCs w:val="24"/>
        </w:rPr>
        <w:t>Guize</w:t>
      </w:r>
      <w:proofErr w:type="spellEnd"/>
      <w:r w:rsidR="00F147EA">
        <w:rPr>
          <w:rFonts w:ascii="Times New Roman" w:hAnsi="Times New Roman" w:cs="Times New Roman"/>
          <w:sz w:val="24"/>
          <w:szCs w:val="24"/>
        </w:rPr>
        <w:t>,</w:t>
      </w:r>
      <w:r w:rsidRPr="0048469A">
        <w:rPr>
          <w:rFonts w:ascii="Times New Roman" w:hAnsi="Times New Roman" w:cs="Times New Roman"/>
          <w:sz w:val="24"/>
          <w:szCs w:val="24"/>
        </w:rPr>
        <w:t xml:space="preserve"> L.</w:t>
      </w:r>
      <w:r w:rsidR="00E16B33">
        <w:rPr>
          <w:rFonts w:ascii="Times New Roman" w:hAnsi="Times New Roman" w:cs="Times New Roman"/>
          <w:sz w:val="24"/>
          <w:szCs w:val="24"/>
        </w:rPr>
        <w:t xml:space="preserve"> (1990). </w:t>
      </w:r>
      <w:r w:rsidR="00E16B33" w:rsidRPr="0048469A">
        <w:rPr>
          <w:rFonts w:ascii="Times New Roman" w:hAnsi="Times New Roman" w:cs="Times New Roman"/>
          <w:sz w:val="24"/>
          <w:szCs w:val="24"/>
        </w:rPr>
        <w:t>Menopause-related changes in lipoproteins and some other cardiovascular</w:t>
      </w:r>
      <w:r w:rsidR="00E16B33">
        <w:rPr>
          <w:rFonts w:ascii="Times New Roman" w:hAnsi="Times New Roman" w:cs="Times New Roman"/>
          <w:sz w:val="24"/>
          <w:szCs w:val="24"/>
        </w:rPr>
        <w:t xml:space="preserve"> </w:t>
      </w:r>
      <w:r w:rsidR="00E16B33" w:rsidRPr="0048469A">
        <w:rPr>
          <w:rFonts w:ascii="Times New Roman" w:hAnsi="Times New Roman" w:cs="Times New Roman"/>
          <w:sz w:val="24"/>
          <w:szCs w:val="24"/>
        </w:rPr>
        <w:t>risk factors.</w:t>
      </w:r>
      <w:r w:rsidR="00E16B33">
        <w:rPr>
          <w:rFonts w:ascii="Times New Roman" w:hAnsi="Times New Roman" w:cs="Times New Roman"/>
          <w:sz w:val="24"/>
          <w:szCs w:val="24"/>
        </w:rPr>
        <w:t xml:space="preserve"> </w:t>
      </w:r>
      <w:r w:rsidR="00E16B33">
        <w:rPr>
          <w:rFonts w:ascii="Times New Roman" w:hAnsi="Times New Roman" w:cs="Times New Roman"/>
          <w:i/>
          <w:sz w:val="24"/>
          <w:szCs w:val="24"/>
        </w:rPr>
        <w:t>International Journal of Epidemiology,</w:t>
      </w:r>
      <w:r w:rsidR="00E16B33" w:rsidRPr="00FF1589">
        <w:rPr>
          <w:rFonts w:ascii="Times New Roman" w:hAnsi="Times New Roman" w:cs="Times New Roman"/>
          <w:i/>
          <w:sz w:val="24"/>
          <w:szCs w:val="24"/>
        </w:rPr>
        <w:t xml:space="preserve"> 19</w:t>
      </w:r>
      <w:r w:rsidR="00E16B33">
        <w:rPr>
          <w:rFonts w:ascii="Times New Roman" w:hAnsi="Times New Roman" w:cs="Times New Roman"/>
          <w:sz w:val="24"/>
          <w:szCs w:val="24"/>
        </w:rPr>
        <w:t>, 42-4</w:t>
      </w:r>
      <w:r w:rsidR="00E16B33" w:rsidRPr="0048469A">
        <w:rPr>
          <w:rFonts w:ascii="Times New Roman" w:hAnsi="Times New Roman" w:cs="Times New Roman"/>
          <w:sz w:val="24"/>
          <w:szCs w:val="24"/>
        </w:rPr>
        <w:t>8</w:t>
      </w:r>
      <w:r w:rsidR="00E16B33">
        <w:rPr>
          <w:rFonts w:ascii="Times New Roman" w:hAnsi="Times New Roman" w:cs="Times New Roman"/>
          <w:sz w:val="24"/>
          <w:szCs w:val="24"/>
        </w:rPr>
        <w:t>.</w:t>
      </w:r>
    </w:p>
    <w:p w:rsidR="00E16B33" w:rsidRDefault="00E16B33" w:rsidP="00461457">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Britton,</w:t>
      </w:r>
      <w:r w:rsidRPr="00CF46FB">
        <w:rPr>
          <w:rFonts w:ascii="Times New Roman" w:hAnsi="Times New Roman" w:cs="Times New Roman"/>
          <w:sz w:val="24"/>
          <w:szCs w:val="24"/>
          <w:lang w:val="en-US"/>
        </w:rPr>
        <w:t xml:space="preserve"> </w:t>
      </w:r>
      <w:r>
        <w:rPr>
          <w:rFonts w:ascii="Times New Roman" w:hAnsi="Times New Roman" w:cs="Times New Roman"/>
          <w:sz w:val="24"/>
          <w:szCs w:val="24"/>
          <w:lang w:val="en-US"/>
        </w:rPr>
        <w:t>A., Brunner,</w:t>
      </w:r>
      <w:r w:rsidRPr="00CF46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Kivimaki</w:t>
      </w:r>
      <w:proofErr w:type="spellEnd"/>
      <w:r>
        <w:rPr>
          <w:rFonts w:ascii="Times New Roman" w:hAnsi="Times New Roman" w:cs="Times New Roman"/>
          <w:sz w:val="24"/>
          <w:szCs w:val="24"/>
          <w:lang w:val="en-US"/>
        </w:rPr>
        <w:t xml:space="preserve">, M., </w:t>
      </w:r>
      <w:r w:rsidR="004A4CE6">
        <w:rPr>
          <w:rFonts w:ascii="Times New Roman" w:hAnsi="Times New Roman" w:cs="Times New Roman"/>
          <w:sz w:val="24"/>
          <w:szCs w:val="24"/>
          <w:lang w:val="en-US"/>
        </w:rPr>
        <w:t>&amp; Shipley, M.</w:t>
      </w:r>
      <w:r w:rsidR="0093494D">
        <w:rPr>
          <w:rFonts w:ascii="Times New Roman" w:hAnsi="Times New Roman" w:cs="Times New Roman"/>
          <w:sz w:val="24"/>
          <w:szCs w:val="24"/>
          <w:lang w:val="en-US"/>
        </w:rPr>
        <w:t xml:space="preserve"> </w:t>
      </w:r>
      <w:r w:rsidR="004A4CE6">
        <w:rPr>
          <w:rFonts w:ascii="Times New Roman" w:hAnsi="Times New Roman" w:cs="Times New Roman"/>
          <w:sz w:val="24"/>
          <w:szCs w:val="24"/>
          <w:lang w:val="en-US"/>
        </w:rPr>
        <w:t>J.</w:t>
      </w:r>
      <w:r>
        <w:rPr>
          <w:rFonts w:ascii="Times New Roman" w:hAnsi="Times New Roman" w:cs="Times New Roman"/>
          <w:sz w:val="24"/>
          <w:szCs w:val="24"/>
          <w:lang w:val="en-US"/>
        </w:rPr>
        <w:t xml:space="preserve"> (2012). </w:t>
      </w:r>
      <w:r w:rsidRPr="00CF46FB">
        <w:rPr>
          <w:rFonts w:ascii="Times New Roman" w:hAnsi="Times New Roman" w:cs="Times New Roman"/>
          <w:sz w:val="24"/>
          <w:szCs w:val="24"/>
          <w:lang w:val="en-US"/>
        </w:rPr>
        <w:t>Limitations to functioning and independent living after the on</w:t>
      </w:r>
      <w:r>
        <w:rPr>
          <w:rFonts w:ascii="Times New Roman" w:hAnsi="Times New Roman" w:cs="Times New Roman"/>
          <w:sz w:val="24"/>
          <w:szCs w:val="24"/>
          <w:lang w:val="en-US"/>
        </w:rPr>
        <w:t xml:space="preserve">set of coronary heart disease: </w:t>
      </w:r>
      <w:r w:rsidR="005161E9">
        <w:rPr>
          <w:rFonts w:ascii="Times New Roman" w:hAnsi="Times New Roman" w:cs="Times New Roman"/>
          <w:sz w:val="24"/>
          <w:szCs w:val="24"/>
          <w:lang w:val="en-US"/>
        </w:rPr>
        <w:t>W</w:t>
      </w:r>
      <w:r w:rsidRPr="00CF46FB">
        <w:rPr>
          <w:rFonts w:ascii="Times New Roman" w:hAnsi="Times New Roman" w:cs="Times New Roman"/>
          <w:sz w:val="24"/>
          <w:szCs w:val="24"/>
          <w:lang w:val="en-US"/>
        </w:rPr>
        <w:t>hat is the role of lifestyle factors and obesity?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European Journal of Public Health,</w:t>
      </w:r>
      <w:r w:rsidRPr="002E177F">
        <w:rPr>
          <w:rFonts w:ascii="Times New Roman" w:hAnsi="Times New Roman" w:cs="Times New Roman"/>
          <w:i/>
          <w:sz w:val="24"/>
          <w:szCs w:val="24"/>
          <w:lang w:val="en-US"/>
        </w:rPr>
        <w:t xml:space="preserve"> 22</w:t>
      </w:r>
      <w:r>
        <w:rPr>
          <w:rFonts w:ascii="Times New Roman" w:hAnsi="Times New Roman" w:cs="Times New Roman"/>
          <w:sz w:val="24"/>
          <w:szCs w:val="24"/>
          <w:lang w:val="en-US"/>
        </w:rPr>
        <w:t>, 831-83</w:t>
      </w:r>
      <w:r w:rsidRPr="00CF46FB">
        <w:rPr>
          <w:rFonts w:ascii="Times New Roman" w:hAnsi="Times New Roman" w:cs="Times New Roman"/>
          <w:sz w:val="24"/>
          <w:szCs w:val="24"/>
          <w:lang w:val="en-US"/>
        </w:rPr>
        <w:t>5</w:t>
      </w:r>
      <w:r>
        <w:rPr>
          <w:rFonts w:ascii="Times New Roman" w:hAnsi="Times New Roman" w:cs="Times New Roman"/>
          <w:sz w:val="24"/>
          <w:szCs w:val="24"/>
          <w:lang w:val="en-US"/>
        </w:rPr>
        <w:t>.</w:t>
      </w:r>
    </w:p>
    <w:p w:rsidR="00E16B33" w:rsidRPr="00E16B33" w:rsidRDefault="00E16B33" w:rsidP="00461457">
      <w:pPr>
        <w:spacing w:after="0" w:line="36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Charlson</w:t>
      </w:r>
      <w:proofErr w:type="spellEnd"/>
      <w:r>
        <w:rPr>
          <w:rFonts w:ascii="Times New Roman" w:hAnsi="Times New Roman" w:cs="Times New Roman"/>
          <w:sz w:val="24"/>
          <w:szCs w:val="24"/>
          <w:lang w:val="en-US"/>
        </w:rPr>
        <w:t>, F.</w:t>
      </w:r>
      <w:r w:rsidR="009349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Stapelberg</w:t>
      </w:r>
      <w:proofErr w:type="spellEnd"/>
      <w:r>
        <w:rPr>
          <w:rFonts w:ascii="Times New Roman" w:hAnsi="Times New Roman" w:cs="Times New Roman"/>
          <w:sz w:val="24"/>
          <w:szCs w:val="24"/>
          <w:lang w:val="en-US"/>
        </w:rPr>
        <w:t>, N.</w:t>
      </w:r>
      <w:r w:rsidR="0093494D">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93494D">
        <w:rPr>
          <w:rFonts w:ascii="Times New Roman" w:hAnsi="Times New Roman" w:cs="Times New Roman"/>
          <w:sz w:val="24"/>
          <w:szCs w:val="24"/>
          <w:lang w:val="en-US"/>
        </w:rPr>
        <w:t xml:space="preserve"> </w:t>
      </w:r>
      <w:r>
        <w:rPr>
          <w:rFonts w:ascii="Times New Roman" w:hAnsi="Times New Roman" w:cs="Times New Roman"/>
          <w:sz w:val="24"/>
          <w:szCs w:val="24"/>
          <w:lang w:val="en-US"/>
        </w:rPr>
        <w:t>C., Baxter, A.</w:t>
      </w:r>
      <w:r w:rsidR="009349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w:t>
      </w:r>
      <w:r w:rsidR="004A4CE6">
        <w:rPr>
          <w:rFonts w:ascii="Times New Roman" w:hAnsi="Times New Roman" w:cs="Times New Roman"/>
          <w:sz w:val="24"/>
          <w:szCs w:val="24"/>
          <w:lang w:val="en-US"/>
        </w:rPr>
        <w:t xml:space="preserve">&amp; </w:t>
      </w:r>
      <w:proofErr w:type="spellStart"/>
      <w:r w:rsidR="004A4CE6">
        <w:rPr>
          <w:rFonts w:ascii="Times New Roman" w:hAnsi="Times New Roman" w:cs="Times New Roman"/>
          <w:sz w:val="24"/>
          <w:szCs w:val="24"/>
          <w:lang w:val="en-US"/>
        </w:rPr>
        <w:t>Whiteford</w:t>
      </w:r>
      <w:proofErr w:type="spellEnd"/>
      <w:r w:rsidR="004A4CE6">
        <w:rPr>
          <w:rFonts w:ascii="Times New Roman" w:hAnsi="Times New Roman" w:cs="Times New Roman"/>
          <w:sz w:val="24"/>
          <w:szCs w:val="24"/>
          <w:lang w:val="en-US"/>
        </w:rPr>
        <w:t>, H.</w:t>
      </w:r>
      <w:r w:rsidR="0093494D">
        <w:rPr>
          <w:rFonts w:ascii="Times New Roman" w:hAnsi="Times New Roman" w:cs="Times New Roman"/>
          <w:sz w:val="24"/>
          <w:szCs w:val="24"/>
          <w:lang w:val="en-US"/>
        </w:rPr>
        <w:t xml:space="preserve"> </w:t>
      </w:r>
      <w:r w:rsidR="004A4CE6">
        <w:rPr>
          <w:rFonts w:ascii="Times New Roman" w:hAnsi="Times New Roman" w:cs="Times New Roman"/>
          <w:sz w:val="24"/>
          <w:szCs w:val="24"/>
          <w:lang w:val="en-US"/>
        </w:rPr>
        <w:t>A.</w:t>
      </w:r>
      <w:r>
        <w:rPr>
          <w:rFonts w:ascii="Times New Roman" w:hAnsi="Times New Roman" w:cs="Times New Roman"/>
          <w:sz w:val="24"/>
          <w:szCs w:val="24"/>
          <w:lang w:val="en-US"/>
        </w:rPr>
        <w:t xml:space="preserve"> (2011). </w:t>
      </w:r>
      <w:r w:rsidRPr="00BE06E6">
        <w:rPr>
          <w:rFonts w:ascii="Times New Roman" w:hAnsi="Times New Roman" w:cs="Times New Roman"/>
          <w:sz w:val="24"/>
          <w:szCs w:val="24"/>
          <w:lang w:val="en-US"/>
        </w:rPr>
        <w:t>S</w:t>
      </w:r>
      <w:r>
        <w:rPr>
          <w:rFonts w:ascii="Times New Roman" w:hAnsi="Times New Roman" w:cs="Times New Roman"/>
          <w:sz w:val="24"/>
          <w:szCs w:val="24"/>
          <w:lang w:val="en-US"/>
        </w:rPr>
        <w:t>hould Global Burden of Disease estimates include depression as a risk f</w:t>
      </w:r>
      <w:r w:rsidRPr="00BE06E6">
        <w:rPr>
          <w:rFonts w:ascii="Times New Roman" w:hAnsi="Times New Roman" w:cs="Times New Roman"/>
          <w:sz w:val="24"/>
          <w:szCs w:val="24"/>
          <w:lang w:val="en-US"/>
        </w:rPr>
        <w:t>actor f</w:t>
      </w:r>
      <w:r>
        <w:rPr>
          <w:rFonts w:ascii="Times New Roman" w:hAnsi="Times New Roman" w:cs="Times New Roman"/>
          <w:sz w:val="24"/>
          <w:szCs w:val="24"/>
          <w:lang w:val="en-US"/>
        </w:rPr>
        <w:t xml:space="preserve">or coronary heart disease? </w:t>
      </w:r>
      <w:r>
        <w:rPr>
          <w:rFonts w:ascii="Times New Roman" w:hAnsi="Times New Roman" w:cs="Times New Roman"/>
          <w:i/>
          <w:sz w:val="24"/>
          <w:szCs w:val="24"/>
          <w:lang w:val="en-US"/>
        </w:rPr>
        <w:t xml:space="preserve">BMC </w:t>
      </w:r>
      <w:r w:rsidRPr="00E616DD">
        <w:rPr>
          <w:rFonts w:ascii="Times New Roman" w:hAnsi="Times New Roman" w:cs="Times New Roman"/>
          <w:i/>
          <w:sz w:val="24"/>
          <w:szCs w:val="24"/>
          <w:lang w:val="en-US"/>
        </w:rPr>
        <w:t>Med</w:t>
      </w:r>
      <w:r>
        <w:rPr>
          <w:rFonts w:ascii="Times New Roman" w:hAnsi="Times New Roman" w:cs="Times New Roman"/>
          <w:i/>
          <w:sz w:val="24"/>
          <w:szCs w:val="24"/>
          <w:lang w:val="en-US"/>
        </w:rPr>
        <w:t>icine,</w:t>
      </w:r>
      <w:r w:rsidRPr="002E177F">
        <w:rPr>
          <w:rFonts w:ascii="Times New Roman" w:hAnsi="Times New Roman" w:cs="Times New Roman"/>
          <w:i/>
          <w:sz w:val="24"/>
          <w:szCs w:val="24"/>
          <w:lang w:val="en-US"/>
        </w:rPr>
        <w:t xml:space="preserve"> 9</w:t>
      </w:r>
      <w:r>
        <w:rPr>
          <w:rFonts w:ascii="Times New Roman" w:hAnsi="Times New Roman" w:cs="Times New Roman"/>
          <w:sz w:val="24"/>
          <w:szCs w:val="24"/>
          <w:lang w:val="en-US"/>
        </w:rPr>
        <w:t>, 47.</w:t>
      </w:r>
      <w:r w:rsidRPr="004866A1">
        <w:rPr>
          <w:rFonts w:ascii="Times New Roman" w:hAnsi="Times New Roman" w:cs="Times New Roman"/>
          <w:sz w:val="24"/>
          <w:szCs w:val="24"/>
          <w:lang w:val="en-US"/>
        </w:rPr>
        <w:t xml:space="preserve"> </w:t>
      </w:r>
      <w:proofErr w:type="gramStart"/>
      <w:r w:rsidRPr="004866A1">
        <w:rPr>
          <w:rFonts w:ascii="Times New Roman" w:hAnsi="Times New Roman" w:cs="Times New Roman"/>
          <w:sz w:val="24"/>
          <w:szCs w:val="24"/>
        </w:rPr>
        <w:t>doi:</w:t>
      </w:r>
      <w:proofErr w:type="gramEnd"/>
      <w:r w:rsidRPr="004866A1">
        <w:rPr>
          <w:rFonts w:ascii="Times New Roman" w:hAnsi="Times New Roman" w:cs="Times New Roman"/>
          <w:sz w:val="24"/>
          <w:szCs w:val="24"/>
        </w:rPr>
        <w:t>10.1186/1741-7015-9-47</w:t>
      </w:r>
      <w:r>
        <w:rPr>
          <w:rFonts w:ascii="Times New Roman" w:hAnsi="Times New Roman" w:cs="Times New Roman"/>
          <w:sz w:val="24"/>
          <w:szCs w:val="24"/>
        </w:rPr>
        <w:t>.</w:t>
      </w:r>
    </w:p>
    <w:p w:rsidR="00E16B33" w:rsidRPr="00E967E7" w:rsidRDefault="004A4CE6"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Craig, C.</w:t>
      </w:r>
      <w:r w:rsidR="0093494D">
        <w:rPr>
          <w:rFonts w:ascii="Times New Roman" w:hAnsi="Times New Roman" w:cs="Times New Roman"/>
          <w:sz w:val="24"/>
          <w:szCs w:val="24"/>
        </w:rPr>
        <w:t xml:space="preserve"> </w:t>
      </w:r>
      <w:r>
        <w:rPr>
          <w:rFonts w:ascii="Times New Roman" w:hAnsi="Times New Roman" w:cs="Times New Roman"/>
          <w:sz w:val="24"/>
          <w:szCs w:val="24"/>
        </w:rPr>
        <w:t>L., Marshall, A.</w:t>
      </w:r>
      <w:r w:rsidR="0093494D">
        <w:rPr>
          <w:rFonts w:ascii="Times New Roman" w:hAnsi="Times New Roman" w:cs="Times New Roman"/>
          <w:sz w:val="24"/>
          <w:szCs w:val="24"/>
        </w:rPr>
        <w:t xml:space="preserve"> </w:t>
      </w:r>
      <w:r w:rsidRPr="009715D6">
        <w:rPr>
          <w:rFonts w:ascii="Times New Roman" w:hAnsi="Times New Roman" w:cs="Times New Roman"/>
          <w:sz w:val="24"/>
          <w:szCs w:val="24"/>
        </w:rPr>
        <w:t>L.</w:t>
      </w:r>
      <w:r>
        <w:rPr>
          <w:rFonts w:ascii="Times New Roman" w:hAnsi="Times New Roman" w:cs="Times New Roman"/>
          <w:sz w:val="24"/>
          <w:szCs w:val="24"/>
        </w:rPr>
        <w:t>,</w:t>
      </w:r>
      <w:r w:rsidRPr="009715D6">
        <w:rPr>
          <w:rFonts w:ascii="Times New Roman" w:hAnsi="Times New Roman" w:cs="Times New Roman"/>
          <w:sz w:val="24"/>
          <w:szCs w:val="24"/>
        </w:rPr>
        <w:t xml:space="preserve"> </w:t>
      </w:r>
      <w:proofErr w:type="spellStart"/>
      <w:r>
        <w:rPr>
          <w:rFonts w:ascii="Times New Roman" w:hAnsi="Times New Roman" w:cs="Times New Roman"/>
          <w:sz w:val="24"/>
          <w:szCs w:val="24"/>
        </w:rPr>
        <w:t>Sjöström</w:t>
      </w:r>
      <w:proofErr w:type="spellEnd"/>
      <w:r w:rsidRPr="009715D6">
        <w:rPr>
          <w:rFonts w:ascii="Times New Roman" w:hAnsi="Times New Roman" w:cs="Times New Roman"/>
          <w:sz w:val="24"/>
          <w:szCs w:val="24"/>
        </w:rPr>
        <w:t>, M.</w:t>
      </w:r>
      <w:r>
        <w:rPr>
          <w:rFonts w:ascii="Times New Roman" w:hAnsi="Times New Roman" w:cs="Times New Roman"/>
          <w:sz w:val="24"/>
          <w:szCs w:val="24"/>
        </w:rPr>
        <w:t>,</w:t>
      </w:r>
      <w:r w:rsidRPr="009715D6">
        <w:rPr>
          <w:rFonts w:ascii="Times New Roman" w:hAnsi="Times New Roman" w:cs="Times New Roman"/>
          <w:sz w:val="24"/>
          <w:szCs w:val="24"/>
        </w:rPr>
        <w:t xml:space="preserve"> </w:t>
      </w:r>
      <w:r>
        <w:rPr>
          <w:rFonts w:ascii="Times New Roman" w:hAnsi="Times New Roman" w:cs="Times New Roman"/>
          <w:sz w:val="24"/>
          <w:szCs w:val="24"/>
        </w:rPr>
        <w:t>Bauman, A.</w:t>
      </w:r>
      <w:r w:rsidR="0093494D">
        <w:rPr>
          <w:rFonts w:ascii="Times New Roman" w:hAnsi="Times New Roman" w:cs="Times New Roman"/>
          <w:sz w:val="24"/>
          <w:szCs w:val="24"/>
        </w:rPr>
        <w:t xml:space="preserve"> </w:t>
      </w:r>
      <w:r w:rsidRPr="009715D6">
        <w:rPr>
          <w:rFonts w:ascii="Times New Roman" w:hAnsi="Times New Roman" w:cs="Times New Roman"/>
          <w:sz w:val="24"/>
          <w:szCs w:val="24"/>
        </w:rPr>
        <w:t>E.</w:t>
      </w:r>
      <w:r>
        <w:rPr>
          <w:rFonts w:ascii="Times New Roman" w:hAnsi="Times New Roman" w:cs="Times New Roman"/>
          <w:sz w:val="24"/>
          <w:szCs w:val="24"/>
        </w:rPr>
        <w:t>, Booth, M.</w:t>
      </w:r>
      <w:r w:rsidR="0093494D">
        <w:rPr>
          <w:rFonts w:ascii="Times New Roman" w:hAnsi="Times New Roman" w:cs="Times New Roman"/>
          <w:sz w:val="24"/>
          <w:szCs w:val="24"/>
        </w:rPr>
        <w:t xml:space="preserve"> </w:t>
      </w:r>
      <w:r w:rsidRPr="009715D6">
        <w:rPr>
          <w:rFonts w:ascii="Times New Roman" w:hAnsi="Times New Roman" w:cs="Times New Roman"/>
          <w:sz w:val="24"/>
          <w:szCs w:val="24"/>
        </w:rPr>
        <w:t>L.</w:t>
      </w:r>
      <w:r>
        <w:rPr>
          <w:rFonts w:ascii="Times New Roman" w:hAnsi="Times New Roman" w:cs="Times New Roman"/>
          <w:sz w:val="24"/>
          <w:szCs w:val="24"/>
        </w:rPr>
        <w:t>, Ainsworth, B.</w:t>
      </w:r>
      <w:r w:rsidR="0093494D">
        <w:rPr>
          <w:rFonts w:ascii="Times New Roman" w:hAnsi="Times New Roman" w:cs="Times New Roman"/>
          <w:sz w:val="24"/>
          <w:szCs w:val="24"/>
        </w:rPr>
        <w:t xml:space="preserve"> </w:t>
      </w:r>
      <w:r w:rsidRPr="009715D6">
        <w:rPr>
          <w:rFonts w:ascii="Times New Roman" w:hAnsi="Times New Roman" w:cs="Times New Roman"/>
          <w:sz w:val="24"/>
          <w:szCs w:val="24"/>
        </w:rPr>
        <w:t>E</w:t>
      </w:r>
      <w:proofErr w:type="gramStart"/>
      <w:r w:rsidRPr="009715D6">
        <w:rPr>
          <w:rFonts w:ascii="Times New Roman" w:hAnsi="Times New Roman" w:cs="Times New Roman"/>
          <w:sz w:val="24"/>
          <w:szCs w:val="24"/>
        </w:rPr>
        <w:t>.</w:t>
      </w:r>
      <w:r>
        <w:rPr>
          <w:rFonts w:ascii="Times New Roman" w:hAnsi="Times New Roman" w:cs="Times New Roman"/>
          <w:sz w:val="24"/>
          <w:szCs w:val="24"/>
        </w:rPr>
        <w:t>,</w:t>
      </w:r>
      <w:r w:rsidRPr="009715D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9715D6">
        <w:rPr>
          <w:rFonts w:ascii="Times New Roman" w:hAnsi="Times New Roman" w:cs="Times New Roman"/>
          <w:sz w:val="24"/>
          <w:szCs w:val="24"/>
        </w:rPr>
        <w:t>Oja</w:t>
      </w:r>
      <w:proofErr w:type="spellEnd"/>
      <w:r>
        <w:rPr>
          <w:rFonts w:ascii="Times New Roman" w:hAnsi="Times New Roman" w:cs="Times New Roman"/>
          <w:sz w:val="24"/>
          <w:szCs w:val="24"/>
        </w:rPr>
        <w:t>,</w:t>
      </w:r>
      <w:r w:rsidRPr="001C1D4B">
        <w:rPr>
          <w:rFonts w:ascii="Times New Roman" w:hAnsi="Times New Roman" w:cs="Times New Roman"/>
          <w:sz w:val="24"/>
          <w:szCs w:val="24"/>
        </w:rPr>
        <w:t xml:space="preserve"> </w:t>
      </w:r>
      <w:r>
        <w:rPr>
          <w:rFonts w:ascii="Times New Roman" w:hAnsi="Times New Roman" w:cs="Times New Roman"/>
          <w:sz w:val="24"/>
          <w:szCs w:val="24"/>
        </w:rPr>
        <w:t>P</w:t>
      </w:r>
      <w:r w:rsidRPr="009715D6">
        <w:rPr>
          <w:rFonts w:ascii="Times New Roman" w:hAnsi="Times New Roman" w:cs="Times New Roman"/>
          <w:sz w:val="24"/>
          <w:szCs w:val="24"/>
        </w:rPr>
        <w:t>.</w:t>
      </w:r>
      <w:r>
        <w:rPr>
          <w:rFonts w:ascii="Times New Roman" w:hAnsi="Times New Roman" w:cs="Times New Roman"/>
          <w:sz w:val="24"/>
          <w:szCs w:val="24"/>
        </w:rPr>
        <w:t xml:space="preserve"> </w:t>
      </w:r>
      <w:r w:rsidR="00E16B33">
        <w:rPr>
          <w:rFonts w:ascii="Times New Roman" w:hAnsi="Times New Roman" w:cs="Times New Roman"/>
          <w:sz w:val="24"/>
          <w:szCs w:val="24"/>
        </w:rPr>
        <w:t xml:space="preserve">(2003). </w:t>
      </w:r>
      <w:r w:rsidR="00E16B33" w:rsidRPr="009715D6">
        <w:rPr>
          <w:rFonts w:ascii="Times New Roman" w:hAnsi="Times New Roman" w:cs="Times New Roman"/>
          <w:sz w:val="24"/>
          <w:szCs w:val="24"/>
        </w:rPr>
        <w:t>International Physi</w:t>
      </w:r>
      <w:r w:rsidR="00E16B33">
        <w:rPr>
          <w:rFonts w:ascii="Times New Roman" w:hAnsi="Times New Roman" w:cs="Times New Roman"/>
          <w:sz w:val="24"/>
          <w:szCs w:val="24"/>
        </w:rPr>
        <w:t>cal Activity Questionnaire: 12-country reliability and v</w:t>
      </w:r>
      <w:r w:rsidR="00E16B33" w:rsidRPr="009715D6">
        <w:rPr>
          <w:rFonts w:ascii="Times New Roman" w:hAnsi="Times New Roman" w:cs="Times New Roman"/>
          <w:sz w:val="24"/>
          <w:szCs w:val="24"/>
        </w:rPr>
        <w:t>alidi</w:t>
      </w:r>
      <w:r w:rsidR="00E16B33">
        <w:rPr>
          <w:rFonts w:ascii="Times New Roman" w:hAnsi="Times New Roman" w:cs="Times New Roman"/>
          <w:sz w:val="24"/>
          <w:szCs w:val="24"/>
        </w:rPr>
        <w:t xml:space="preserve">ty. </w:t>
      </w:r>
      <w:r w:rsidR="00E16B33">
        <w:rPr>
          <w:rFonts w:ascii="Times New Roman" w:hAnsi="Times New Roman" w:cs="Times New Roman"/>
          <w:i/>
          <w:sz w:val="24"/>
          <w:szCs w:val="24"/>
        </w:rPr>
        <w:t>Medicine</w:t>
      </w:r>
      <w:r w:rsidR="00C54D24">
        <w:rPr>
          <w:rFonts w:ascii="Times New Roman" w:hAnsi="Times New Roman" w:cs="Times New Roman"/>
          <w:i/>
          <w:sz w:val="24"/>
          <w:szCs w:val="24"/>
        </w:rPr>
        <w:t xml:space="preserve"> and</w:t>
      </w:r>
      <w:r w:rsidR="00E16B33">
        <w:rPr>
          <w:rFonts w:ascii="Times New Roman" w:hAnsi="Times New Roman" w:cs="Times New Roman"/>
          <w:i/>
          <w:sz w:val="24"/>
          <w:szCs w:val="24"/>
        </w:rPr>
        <w:t xml:space="preserve"> Sci</w:t>
      </w:r>
      <w:r w:rsidR="00C54D24">
        <w:rPr>
          <w:rFonts w:ascii="Times New Roman" w:hAnsi="Times New Roman" w:cs="Times New Roman"/>
          <w:i/>
          <w:sz w:val="24"/>
          <w:szCs w:val="24"/>
        </w:rPr>
        <w:t>ence in</w:t>
      </w:r>
      <w:r w:rsidR="00E16B33">
        <w:rPr>
          <w:rFonts w:ascii="Times New Roman" w:hAnsi="Times New Roman" w:cs="Times New Roman"/>
          <w:i/>
          <w:sz w:val="24"/>
          <w:szCs w:val="24"/>
        </w:rPr>
        <w:t xml:space="preserve"> </w:t>
      </w:r>
      <w:r w:rsidR="00E16B33" w:rsidRPr="004866A1">
        <w:rPr>
          <w:rFonts w:ascii="Times New Roman" w:hAnsi="Times New Roman" w:cs="Times New Roman"/>
          <w:i/>
          <w:sz w:val="24"/>
          <w:szCs w:val="24"/>
        </w:rPr>
        <w:t>Sports</w:t>
      </w:r>
      <w:r w:rsidR="00E16B33">
        <w:rPr>
          <w:rFonts w:ascii="Times New Roman" w:hAnsi="Times New Roman" w:cs="Times New Roman"/>
          <w:i/>
          <w:sz w:val="24"/>
          <w:szCs w:val="24"/>
        </w:rPr>
        <w:t xml:space="preserve"> </w:t>
      </w:r>
      <w:r w:rsidR="00C54D24">
        <w:rPr>
          <w:rFonts w:ascii="Times New Roman" w:hAnsi="Times New Roman" w:cs="Times New Roman"/>
          <w:i/>
          <w:sz w:val="24"/>
          <w:szCs w:val="24"/>
        </w:rPr>
        <w:t xml:space="preserve">and </w:t>
      </w:r>
      <w:r w:rsidR="00E16B33">
        <w:rPr>
          <w:rFonts w:ascii="Times New Roman" w:hAnsi="Times New Roman" w:cs="Times New Roman"/>
          <w:i/>
          <w:sz w:val="24"/>
          <w:szCs w:val="24"/>
        </w:rPr>
        <w:t>Exercise,</w:t>
      </w:r>
      <w:r w:rsidR="00E16B33" w:rsidRPr="0096080B">
        <w:rPr>
          <w:rFonts w:ascii="Times New Roman" w:hAnsi="Times New Roman" w:cs="Times New Roman"/>
          <w:i/>
          <w:sz w:val="24"/>
          <w:szCs w:val="24"/>
        </w:rPr>
        <w:t xml:space="preserve"> 35</w:t>
      </w:r>
      <w:r w:rsidR="00E16B33">
        <w:rPr>
          <w:rFonts w:ascii="Times New Roman" w:hAnsi="Times New Roman" w:cs="Times New Roman"/>
          <w:sz w:val="24"/>
          <w:szCs w:val="24"/>
        </w:rPr>
        <w:t>, 1381-1395.</w:t>
      </w:r>
    </w:p>
    <w:p w:rsidR="00E16B33" w:rsidRPr="00367400" w:rsidRDefault="00E16B33" w:rsidP="00461457">
      <w:pPr>
        <w:spacing w:after="0" w:line="360" w:lineRule="auto"/>
        <w:ind w:left="567" w:hanging="567"/>
        <w:rPr>
          <w:rFonts w:ascii="Times New Roman" w:hAnsi="Times New Roman" w:cs="Times New Roman"/>
          <w:sz w:val="24"/>
          <w:szCs w:val="24"/>
          <w:lang w:val="en-GB"/>
        </w:rPr>
      </w:pPr>
      <w:r w:rsidRPr="0057130B">
        <w:rPr>
          <w:rFonts w:ascii="Times New Roman" w:hAnsi="Times New Roman" w:cs="Times New Roman"/>
          <w:sz w:val="24"/>
          <w:szCs w:val="24"/>
          <w:lang w:val="en-GB"/>
        </w:rPr>
        <w:t>Department of H</w:t>
      </w:r>
      <w:r>
        <w:rPr>
          <w:rFonts w:ascii="Times New Roman" w:hAnsi="Times New Roman" w:cs="Times New Roman"/>
          <w:sz w:val="24"/>
          <w:szCs w:val="24"/>
          <w:lang w:val="en-GB"/>
        </w:rPr>
        <w:t>ealth and</w:t>
      </w:r>
      <w:r w:rsidRPr="0057130B">
        <w:rPr>
          <w:rFonts w:ascii="Times New Roman" w:hAnsi="Times New Roman" w:cs="Times New Roman"/>
          <w:sz w:val="24"/>
          <w:szCs w:val="24"/>
          <w:lang w:val="en-GB"/>
        </w:rPr>
        <w:t xml:space="preserve"> C</w:t>
      </w:r>
      <w:r w:rsidR="00A63E1E">
        <w:rPr>
          <w:rFonts w:ascii="Times New Roman" w:hAnsi="Times New Roman" w:cs="Times New Roman"/>
          <w:sz w:val="24"/>
          <w:szCs w:val="24"/>
          <w:lang w:val="en-GB"/>
        </w:rPr>
        <w:t>hildren</w:t>
      </w:r>
      <w:r>
        <w:rPr>
          <w:rFonts w:ascii="Times New Roman" w:hAnsi="Times New Roman" w:cs="Times New Roman"/>
          <w:sz w:val="24"/>
          <w:szCs w:val="24"/>
          <w:lang w:val="en-GB"/>
        </w:rPr>
        <w:t xml:space="preserve"> (2010). </w:t>
      </w:r>
      <w:r w:rsidRPr="0057130B">
        <w:rPr>
          <w:rFonts w:ascii="Times New Roman" w:hAnsi="Times New Roman" w:cs="Times New Roman"/>
          <w:i/>
          <w:sz w:val="24"/>
          <w:szCs w:val="24"/>
          <w:lang w:val="en-GB"/>
        </w:rPr>
        <w:t>Changing cardiovascular health. National cardiovascular health policy 2010-2019</w:t>
      </w:r>
      <w:r w:rsidRPr="0057130B">
        <w:rPr>
          <w:rFonts w:ascii="Times New Roman" w:hAnsi="Times New Roman" w:cs="Times New Roman"/>
          <w:sz w:val="24"/>
          <w:szCs w:val="24"/>
          <w:lang w:val="en-GB"/>
        </w:rPr>
        <w:t>. Dublin:</w:t>
      </w:r>
      <w:r>
        <w:rPr>
          <w:rFonts w:ascii="Times New Roman" w:hAnsi="Times New Roman" w:cs="Times New Roman"/>
          <w:sz w:val="24"/>
          <w:szCs w:val="24"/>
          <w:lang w:val="en-GB"/>
        </w:rPr>
        <w:t xml:space="preserve"> Government Publications. Available at: </w:t>
      </w:r>
      <w:hyperlink r:id="rId16" w:history="1">
        <w:r w:rsidRPr="00082591">
          <w:rPr>
            <w:rStyle w:val="Hyperlink"/>
            <w:rFonts w:ascii="Times New Roman" w:hAnsi="Times New Roman" w:cs="Times New Roman"/>
            <w:sz w:val="24"/>
            <w:szCs w:val="24"/>
          </w:rPr>
          <w:t>http://epubs.rcsi.ie/cgi/viewcontent.cgi?article=1034&amp;context=psycholrep</w:t>
        </w:r>
      </w:hyperlink>
      <w:r>
        <w:rPr>
          <w:rFonts w:ascii="Times New Roman" w:hAnsi="Times New Roman" w:cs="Times New Roman"/>
          <w:sz w:val="24"/>
          <w:szCs w:val="24"/>
        </w:rPr>
        <w:t xml:space="preserve">; last accessed </w:t>
      </w:r>
      <w:r w:rsidR="00334E37">
        <w:rPr>
          <w:rFonts w:ascii="Times New Roman" w:hAnsi="Times New Roman" w:cs="Times New Roman"/>
          <w:sz w:val="24"/>
          <w:szCs w:val="24"/>
        </w:rPr>
        <w:t>22</w:t>
      </w:r>
      <w:r w:rsidR="00334E37" w:rsidRPr="00334E37">
        <w:rPr>
          <w:rFonts w:ascii="Times New Roman" w:hAnsi="Times New Roman" w:cs="Times New Roman"/>
          <w:sz w:val="24"/>
          <w:szCs w:val="24"/>
          <w:vertAlign w:val="superscript"/>
        </w:rPr>
        <w:t>nd</w:t>
      </w:r>
      <w:r w:rsidR="00334E37">
        <w:rPr>
          <w:rFonts w:ascii="Times New Roman" w:hAnsi="Times New Roman" w:cs="Times New Roman"/>
          <w:sz w:val="24"/>
          <w:szCs w:val="24"/>
        </w:rPr>
        <w:t xml:space="preserve"> June</w:t>
      </w:r>
      <w:r w:rsidR="00B7461F">
        <w:rPr>
          <w:rFonts w:ascii="Times New Roman" w:hAnsi="Times New Roman" w:cs="Times New Roman"/>
          <w:sz w:val="24"/>
          <w:szCs w:val="24"/>
        </w:rPr>
        <w:t xml:space="preserve"> </w:t>
      </w:r>
      <w:r>
        <w:rPr>
          <w:rFonts w:ascii="Times New Roman" w:hAnsi="Times New Roman" w:cs="Times New Roman"/>
          <w:sz w:val="24"/>
          <w:szCs w:val="24"/>
        </w:rPr>
        <w:t>201</w:t>
      </w:r>
      <w:r w:rsidR="00B7461F">
        <w:rPr>
          <w:rFonts w:ascii="Times New Roman" w:hAnsi="Times New Roman" w:cs="Times New Roman"/>
          <w:sz w:val="24"/>
          <w:szCs w:val="24"/>
        </w:rPr>
        <w:t>7</w:t>
      </w:r>
      <w:r>
        <w:rPr>
          <w:rFonts w:ascii="Times New Roman" w:hAnsi="Times New Roman" w:cs="Times New Roman"/>
          <w:sz w:val="24"/>
          <w:szCs w:val="24"/>
        </w:rPr>
        <w:t>.</w:t>
      </w:r>
    </w:p>
    <w:p w:rsidR="00E16B33" w:rsidRPr="00367400" w:rsidRDefault="00DA3355" w:rsidP="00461457">
      <w:pPr>
        <w:spacing w:after="0" w:line="360" w:lineRule="auto"/>
        <w:ind w:left="567" w:hanging="567"/>
        <w:rPr>
          <w:rFonts w:ascii="Times New Roman" w:hAnsi="Times New Roman" w:cs="Times New Roman"/>
          <w:sz w:val="24"/>
          <w:szCs w:val="24"/>
          <w:lang w:val="en-US"/>
        </w:rPr>
      </w:pPr>
      <w:r w:rsidRPr="000D0194">
        <w:rPr>
          <w:rFonts w:ascii="Times New Roman" w:hAnsi="Times New Roman" w:cs="Times New Roman"/>
          <w:sz w:val="24"/>
          <w:szCs w:val="24"/>
          <w:lang w:val="en-US"/>
        </w:rPr>
        <w:t>Department of Health, Social Services and Public Safety Northern Ireland (DHSSPSNI)</w:t>
      </w:r>
      <w:r w:rsidRPr="000D0194">
        <w:rPr>
          <w:rFonts w:ascii="Times New Roman" w:hAnsi="Times New Roman" w:cs="Times New Roman"/>
          <w:sz w:val="24"/>
          <w:szCs w:val="24"/>
        </w:rPr>
        <w:t xml:space="preserve"> (2014). </w:t>
      </w:r>
      <w:r w:rsidRPr="000D0194">
        <w:rPr>
          <w:rFonts w:ascii="Times New Roman" w:hAnsi="Times New Roman" w:cs="Times New Roman"/>
          <w:i/>
          <w:sz w:val="24"/>
          <w:szCs w:val="24"/>
          <w:lang w:val="en-US"/>
        </w:rPr>
        <w:t xml:space="preserve">Service framework for cardiovascular health and wellbeing </w:t>
      </w:r>
      <w:r w:rsidRPr="000D0194">
        <w:rPr>
          <w:rFonts w:ascii="Times New Roman" w:hAnsi="Times New Roman" w:cs="Times New Roman"/>
          <w:i/>
          <w:sz w:val="24"/>
          <w:szCs w:val="24"/>
        </w:rPr>
        <w:t>April 2014–March 2017</w:t>
      </w:r>
      <w:r w:rsidRPr="000D0194">
        <w:rPr>
          <w:rFonts w:ascii="Times New Roman" w:hAnsi="Times New Roman" w:cs="Times New Roman"/>
          <w:sz w:val="24"/>
          <w:szCs w:val="24"/>
          <w:lang w:val="en-US"/>
        </w:rPr>
        <w:t xml:space="preserve">. </w:t>
      </w:r>
      <w:r w:rsidRPr="000D0194">
        <w:rPr>
          <w:rFonts w:ascii="Times New Roman" w:hAnsi="Times New Roman" w:cs="Times New Roman"/>
          <w:sz w:val="24"/>
          <w:szCs w:val="24"/>
        </w:rPr>
        <w:t xml:space="preserve">Belfast: </w:t>
      </w:r>
      <w:r w:rsidRPr="000D0194">
        <w:rPr>
          <w:rFonts w:ascii="Times New Roman" w:hAnsi="Times New Roman" w:cs="Times New Roman"/>
          <w:sz w:val="24"/>
          <w:szCs w:val="24"/>
          <w:lang w:val="en-US"/>
        </w:rPr>
        <w:t>DHSSPSNI.</w:t>
      </w:r>
      <w:r w:rsidRPr="000D0194">
        <w:rPr>
          <w:rFonts w:ascii="Times New Roman" w:hAnsi="Times New Roman" w:cs="Times New Roman"/>
          <w:sz w:val="24"/>
          <w:szCs w:val="24"/>
        </w:rPr>
        <w:t xml:space="preserve"> Available at:</w:t>
      </w:r>
      <w:r w:rsidRPr="000D0194">
        <w:t xml:space="preserve"> </w:t>
      </w:r>
      <w:hyperlink r:id="rId17" w:history="1">
        <w:r w:rsidRPr="000D0194">
          <w:rPr>
            <w:rStyle w:val="Hyperlink"/>
            <w:rFonts w:ascii="Times New Roman" w:hAnsi="Times New Roman" w:cs="Times New Roman"/>
            <w:sz w:val="24"/>
            <w:szCs w:val="24"/>
            <w:lang w:val="en-US"/>
          </w:rPr>
          <w:t>https://www.dhsspsni.gov.uk/sites/default/files/publications/dhssps/service-framework-for-cardiovascular-health-and-wellbeing-april-2014-march-2017.pdf</w:t>
        </w:r>
      </w:hyperlink>
      <w:r w:rsidRPr="000D0194">
        <w:rPr>
          <w:rFonts w:ascii="Times New Roman" w:hAnsi="Times New Roman" w:cs="Times New Roman"/>
          <w:sz w:val="24"/>
          <w:szCs w:val="24"/>
          <w:lang w:val="en-US"/>
        </w:rPr>
        <w:t xml:space="preserve"> ; last accessed </w:t>
      </w:r>
      <w:r w:rsidR="00334E37" w:rsidRPr="000D0194">
        <w:rPr>
          <w:rFonts w:ascii="Times New Roman" w:hAnsi="Times New Roman" w:cs="Times New Roman"/>
          <w:sz w:val="24"/>
          <w:szCs w:val="24"/>
          <w:lang w:val="en-US"/>
        </w:rPr>
        <w:t>22</w:t>
      </w:r>
      <w:r w:rsidR="00334E37" w:rsidRPr="000D0194">
        <w:rPr>
          <w:rFonts w:ascii="Times New Roman" w:hAnsi="Times New Roman" w:cs="Times New Roman"/>
          <w:sz w:val="24"/>
          <w:szCs w:val="24"/>
          <w:vertAlign w:val="superscript"/>
          <w:lang w:val="en-US"/>
        </w:rPr>
        <w:t>nd</w:t>
      </w:r>
      <w:r w:rsidR="00334E37" w:rsidRPr="000D0194">
        <w:rPr>
          <w:rFonts w:ascii="Times New Roman" w:hAnsi="Times New Roman" w:cs="Times New Roman"/>
          <w:sz w:val="24"/>
          <w:szCs w:val="24"/>
          <w:lang w:val="en-US"/>
        </w:rPr>
        <w:t xml:space="preserve"> June</w:t>
      </w:r>
      <w:r w:rsidRPr="000D0194">
        <w:rPr>
          <w:rFonts w:ascii="Times New Roman" w:hAnsi="Times New Roman" w:cs="Times New Roman"/>
          <w:sz w:val="24"/>
          <w:szCs w:val="24"/>
          <w:lang w:val="en-US"/>
        </w:rPr>
        <w:t xml:space="preserve"> 2017.</w:t>
      </w:r>
    </w:p>
    <w:p w:rsidR="00E16B33" w:rsidRDefault="004A4CE6" w:rsidP="00461457">
      <w:pPr>
        <w:spacing w:after="0" w:line="360" w:lineRule="auto"/>
        <w:ind w:left="567" w:hanging="567"/>
        <w:rPr>
          <w:rFonts w:ascii="Times New Roman" w:hAnsi="Times New Roman" w:cs="Times New Roman"/>
          <w:sz w:val="24"/>
          <w:szCs w:val="24"/>
        </w:rPr>
      </w:pPr>
      <w:proofErr w:type="spellStart"/>
      <w:r w:rsidRPr="008F6A50">
        <w:rPr>
          <w:rFonts w:ascii="Times New Roman" w:hAnsi="Times New Roman" w:cs="Times New Roman"/>
          <w:sz w:val="24"/>
          <w:szCs w:val="24"/>
        </w:rPr>
        <w:t>Ebrahim</w:t>
      </w:r>
      <w:proofErr w:type="spellEnd"/>
      <w:r>
        <w:rPr>
          <w:rFonts w:ascii="Times New Roman" w:hAnsi="Times New Roman" w:cs="Times New Roman"/>
          <w:sz w:val="24"/>
          <w:szCs w:val="24"/>
        </w:rPr>
        <w:t>,</w:t>
      </w:r>
      <w:r w:rsidRPr="008F6A50">
        <w:rPr>
          <w:rFonts w:ascii="Times New Roman" w:hAnsi="Times New Roman" w:cs="Times New Roman"/>
          <w:sz w:val="24"/>
          <w:szCs w:val="24"/>
        </w:rPr>
        <w:t xml:space="preserve"> S</w:t>
      </w:r>
      <w:r>
        <w:rPr>
          <w:rFonts w:ascii="Times New Roman" w:hAnsi="Times New Roman" w:cs="Times New Roman"/>
          <w:sz w:val="24"/>
          <w:szCs w:val="24"/>
        </w:rPr>
        <w:t>.</w:t>
      </w:r>
      <w:r w:rsidRPr="008F6A50">
        <w:rPr>
          <w:rFonts w:ascii="Times New Roman" w:hAnsi="Times New Roman" w:cs="Times New Roman"/>
          <w:sz w:val="24"/>
          <w:szCs w:val="24"/>
        </w:rPr>
        <w:t xml:space="preserve">, </w:t>
      </w:r>
      <w:proofErr w:type="spellStart"/>
      <w:r w:rsidRPr="008F6A50">
        <w:rPr>
          <w:rFonts w:ascii="Times New Roman" w:hAnsi="Times New Roman" w:cs="Times New Roman"/>
          <w:sz w:val="24"/>
          <w:szCs w:val="24"/>
        </w:rPr>
        <w:t>Wannamethee</w:t>
      </w:r>
      <w:proofErr w:type="spellEnd"/>
      <w:r>
        <w:rPr>
          <w:rFonts w:ascii="Times New Roman" w:hAnsi="Times New Roman" w:cs="Times New Roman"/>
          <w:sz w:val="24"/>
          <w:szCs w:val="24"/>
        </w:rPr>
        <w:t>,</w:t>
      </w:r>
      <w:r w:rsidRPr="008F6A50">
        <w:rPr>
          <w:rFonts w:ascii="Times New Roman" w:hAnsi="Times New Roman" w:cs="Times New Roman"/>
          <w:sz w:val="24"/>
          <w:szCs w:val="24"/>
        </w:rPr>
        <w:t xml:space="preserve"> S</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8F6A50">
        <w:rPr>
          <w:rFonts w:ascii="Times New Roman" w:hAnsi="Times New Roman" w:cs="Times New Roman"/>
          <w:sz w:val="24"/>
          <w:szCs w:val="24"/>
        </w:rPr>
        <w:t>G</w:t>
      </w:r>
      <w:r>
        <w:rPr>
          <w:rFonts w:ascii="Times New Roman" w:hAnsi="Times New Roman" w:cs="Times New Roman"/>
          <w:sz w:val="24"/>
          <w:szCs w:val="24"/>
        </w:rPr>
        <w:t>.</w:t>
      </w:r>
      <w:r w:rsidRPr="008F6A50">
        <w:rPr>
          <w:rFonts w:ascii="Times New Roman" w:hAnsi="Times New Roman" w:cs="Times New Roman"/>
          <w:sz w:val="24"/>
          <w:szCs w:val="24"/>
        </w:rPr>
        <w:t xml:space="preserve">, </w:t>
      </w:r>
      <w:proofErr w:type="spellStart"/>
      <w:r w:rsidRPr="008F6A50">
        <w:rPr>
          <w:rFonts w:ascii="Times New Roman" w:hAnsi="Times New Roman" w:cs="Times New Roman"/>
          <w:sz w:val="24"/>
          <w:szCs w:val="24"/>
        </w:rPr>
        <w:t>Whincup</w:t>
      </w:r>
      <w:proofErr w:type="spellEnd"/>
      <w:r>
        <w:rPr>
          <w:rFonts w:ascii="Times New Roman" w:hAnsi="Times New Roman" w:cs="Times New Roman"/>
          <w:sz w:val="24"/>
          <w:szCs w:val="24"/>
        </w:rPr>
        <w:t>,</w:t>
      </w:r>
      <w:r w:rsidRPr="008F6A50">
        <w:rPr>
          <w:rFonts w:ascii="Times New Roman" w:hAnsi="Times New Roman" w:cs="Times New Roman"/>
          <w:sz w:val="24"/>
          <w:szCs w:val="24"/>
        </w:rPr>
        <w:t xml:space="preserve"> P</w:t>
      </w:r>
      <w:r>
        <w:rPr>
          <w:rFonts w:ascii="Times New Roman" w:hAnsi="Times New Roman" w:cs="Times New Roman"/>
          <w:sz w:val="24"/>
          <w:szCs w:val="24"/>
        </w:rPr>
        <w:t>.</w:t>
      </w:r>
      <w:r w:rsidRPr="008F6A50">
        <w:rPr>
          <w:rFonts w:ascii="Times New Roman" w:hAnsi="Times New Roman" w:cs="Times New Roman"/>
          <w:sz w:val="24"/>
          <w:szCs w:val="24"/>
        </w:rPr>
        <w:t>, Walker</w:t>
      </w:r>
      <w:r>
        <w:rPr>
          <w:rFonts w:ascii="Times New Roman" w:hAnsi="Times New Roman" w:cs="Times New Roman"/>
          <w:sz w:val="24"/>
          <w:szCs w:val="24"/>
        </w:rPr>
        <w:t>,</w:t>
      </w:r>
      <w:r w:rsidRPr="008F6A50">
        <w:rPr>
          <w:rFonts w:ascii="Times New Roman" w:hAnsi="Times New Roman" w:cs="Times New Roman"/>
          <w:sz w:val="24"/>
          <w:szCs w:val="24"/>
        </w:rPr>
        <w:t xml:space="preserve"> M</w:t>
      </w:r>
      <w:r>
        <w:rPr>
          <w:rFonts w:ascii="Times New Roman" w:hAnsi="Times New Roman" w:cs="Times New Roman"/>
          <w:sz w:val="24"/>
          <w:szCs w:val="24"/>
        </w:rPr>
        <w:t>.</w:t>
      </w:r>
      <w:r w:rsidRPr="008F6A50">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F6A50">
        <w:rPr>
          <w:rFonts w:ascii="Times New Roman" w:hAnsi="Times New Roman" w:cs="Times New Roman"/>
          <w:sz w:val="24"/>
          <w:szCs w:val="24"/>
        </w:rPr>
        <w:t>Shaper</w:t>
      </w:r>
      <w:r>
        <w:rPr>
          <w:rFonts w:ascii="Times New Roman" w:hAnsi="Times New Roman" w:cs="Times New Roman"/>
          <w:sz w:val="24"/>
          <w:szCs w:val="24"/>
        </w:rPr>
        <w:t>,</w:t>
      </w:r>
      <w:r w:rsidRPr="008F6A50">
        <w:rPr>
          <w:rFonts w:ascii="Times New Roman" w:hAnsi="Times New Roman" w:cs="Times New Roman"/>
          <w:sz w:val="24"/>
          <w:szCs w:val="24"/>
        </w:rPr>
        <w:t xml:space="preserve"> A</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8F6A50">
        <w:rPr>
          <w:rFonts w:ascii="Times New Roman" w:hAnsi="Times New Roman" w:cs="Times New Roman"/>
          <w:sz w:val="24"/>
          <w:szCs w:val="24"/>
        </w:rPr>
        <w:t>G.</w:t>
      </w:r>
      <w:r w:rsidR="00E16B33">
        <w:rPr>
          <w:rFonts w:ascii="Times New Roman" w:hAnsi="Times New Roman" w:cs="Times New Roman"/>
          <w:sz w:val="24"/>
          <w:szCs w:val="24"/>
        </w:rPr>
        <w:t xml:space="preserve"> (2000). </w:t>
      </w:r>
      <w:r w:rsidR="00E16B33" w:rsidRPr="008F6A50">
        <w:rPr>
          <w:rFonts w:ascii="Times New Roman" w:hAnsi="Times New Roman" w:cs="Times New Roman"/>
          <w:sz w:val="24"/>
          <w:szCs w:val="24"/>
        </w:rPr>
        <w:t>Locomotor disabili</w:t>
      </w:r>
      <w:r w:rsidR="00E16B33">
        <w:rPr>
          <w:rFonts w:ascii="Times New Roman" w:hAnsi="Times New Roman" w:cs="Times New Roman"/>
          <w:sz w:val="24"/>
          <w:szCs w:val="24"/>
        </w:rPr>
        <w:t xml:space="preserve">ty in a cohort of British men: </w:t>
      </w:r>
      <w:r w:rsidR="005161E9">
        <w:rPr>
          <w:rFonts w:ascii="Times New Roman" w:hAnsi="Times New Roman" w:cs="Times New Roman"/>
          <w:sz w:val="24"/>
          <w:szCs w:val="24"/>
        </w:rPr>
        <w:t>T</w:t>
      </w:r>
      <w:r w:rsidR="00E16B33" w:rsidRPr="008F6A50">
        <w:rPr>
          <w:rFonts w:ascii="Times New Roman" w:hAnsi="Times New Roman" w:cs="Times New Roman"/>
          <w:sz w:val="24"/>
          <w:szCs w:val="24"/>
        </w:rPr>
        <w:t xml:space="preserve">he impact of lifestyle and disease. </w:t>
      </w:r>
      <w:r w:rsidR="00E16B33">
        <w:rPr>
          <w:rFonts w:ascii="Times New Roman" w:hAnsi="Times New Roman" w:cs="Times New Roman"/>
          <w:i/>
          <w:sz w:val="24"/>
          <w:szCs w:val="24"/>
        </w:rPr>
        <w:t>International Journal of Epidemiology,</w:t>
      </w:r>
      <w:r w:rsidR="00E16B33" w:rsidRPr="002E177F">
        <w:rPr>
          <w:rFonts w:ascii="Times New Roman" w:hAnsi="Times New Roman" w:cs="Times New Roman"/>
          <w:i/>
          <w:sz w:val="24"/>
          <w:szCs w:val="24"/>
        </w:rPr>
        <w:t xml:space="preserve"> 29</w:t>
      </w:r>
      <w:r w:rsidR="00E16B33">
        <w:rPr>
          <w:rFonts w:ascii="Times New Roman" w:hAnsi="Times New Roman" w:cs="Times New Roman"/>
          <w:sz w:val="24"/>
          <w:szCs w:val="24"/>
        </w:rPr>
        <w:t>, 478-486.</w:t>
      </w:r>
    </w:p>
    <w:p w:rsidR="00CD26A7" w:rsidRDefault="00CD26A7" w:rsidP="00461457">
      <w:pPr>
        <w:spacing w:after="0" w:line="360" w:lineRule="auto"/>
        <w:ind w:left="567" w:hanging="567"/>
        <w:rPr>
          <w:rFonts w:ascii="Times New Roman" w:hAnsi="Times New Roman" w:cs="Times New Roman"/>
          <w:sz w:val="24"/>
          <w:szCs w:val="24"/>
          <w:lang w:val="en-US"/>
        </w:rPr>
      </w:pPr>
      <w:r w:rsidRPr="00CD26A7">
        <w:rPr>
          <w:rFonts w:ascii="Times New Roman" w:hAnsi="Times New Roman" w:cs="Times New Roman"/>
          <w:sz w:val="24"/>
          <w:szCs w:val="24"/>
        </w:rPr>
        <w:t>European Health for All database (HFA-DB)</w:t>
      </w:r>
      <w:r>
        <w:rPr>
          <w:rFonts w:ascii="Times New Roman" w:hAnsi="Times New Roman" w:cs="Times New Roman"/>
          <w:sz w:val="24"/>
          <w:szCs w:val="24"/>
        </w:rPr>
        <w:t xml:space="preserve">. Available at: </w:t>
      </w:r>
      <w:hyperlink r:id="rId18" w:history="1">
        <w:r w:rsidRPr="002C3884">
          <w:rPr>
            <w:rStyle w:val="Hyperlink"/>
            <w:rFonts w:ascii="Times New Roman" w:hAnsi="Times New Roman" w:cs="Times New Roman"/>
            <w:sz w:val="24"/>
            <w:szCs w:val="24"/>
          </w:rPr>
          <w:t>http://www.euro.who.int/en/data-and-evidence/databases/european-health-for-all-database-hfa-db</w:t>
        </w:r>
      </w:hyperlink>
      <w:r>
        <w:rPr>
          <w:rFonts w:ascii="Times New Roman" w:hAnsi="Times New Roman" w:cs="Times New Roman"/>
          <w:sz w:val="24"/>
          <w:szCs w:val="24"/>
        </w:rPr>
        <w:t xml:space="preserve">; last accessed </w:t>
      </w:r>
      <w:r w:rsidR="00B7461F">
        <w:rPr>
          <w:rFonts w:ascii="Times New Roman" w:hAnsi="Times New Roman" w:cs="Times New Roman"/>
          <w:sz w:val="24"/>
          <w:szCs w:val="24"/>
        </w:rPr>
        <w:t>19</w:t>
      </w:r>
      <w:r w:rsidR="00B7461F" w:rsidRPr="00B7461F">
        <w:rPr>
          <w:rFonts w:ascii="Times New Roman" w:hAnsi="Times New Roman" w:cs="Times New Roman"/>
          <w:sz w:val="24"/>
          <w:szCs w:val="24"/>
          <w:vertAlign w:val="superscript"/>
        </w:rPr>
        <w:t>th</w:t>
      </w:r>
      <w:r w:rsidR="00B7461F">
        <w:rPr>
          <w:rFonts w:ascii="Times New Roman" w:hAnsi="Times New Roman" w:cs="Times New Roman"/>
          <w:sz w:val="24"/>
          <w:szCs w:val="24"/>
        </w:rPr>
        <w:t xml:space="preserve"> January</w:t>
      </w:r>
      <w:r>
        <w:rPr>
          <w:rFonts w:ascii="Times New Roman" w:hAnsi="Times New Roman" w:cs="Times New Roman"/>
          <w:sz w:val="24"/>
          <w:szCs w:val="24"/>
        </w:rPr>
        <w:t xml:space="preserve"> 201</w:t>
      </w:r>
      <w:r w:rsidR="00B7461F">
        <w:rPr>
          <w:rFonts w:ascii="Times New Roman" w:hAnsi="Times New Roman" w:cs="Times New Roman"/>
          <w:sz w:val="24"/>
          <w:szCs w:val="24"/>
        </w:rPr>
        <w:t>7</w:t>
      </w:r>
      <w:r>
        <w:rPr>
          <w:rFonts w:ascii="Times New Roman" w:hAnsi="Times New Roman" w:cs="Times New Roman"/>
          <w:sz w:val="24"/>
          <w:szCs w:val="24"/>
        </w:rPr>
        <w:t>.</w:t>
      </w:r>
    </w:p>
    <w:p w:rsidR="00E16B33" w:rsidRDefault="00E16B33" w:rsidP="00461457">
      <w:pPr>
        <w:spacing w:after="0" w:line="360" w:lineRule="auto"/>
        <w:ind w:left="567" w:hanging="567"/>
        <w:rPr>
          <w:rFonts w:ascii="Times New Roman" w:hAnsi="Times New Roman" w:cs="Times New Roman"/>
          <w:noProof/>
          <w:sz w:val="24"/>
          <w:szCs w:val="24"/>
        </w:rPr>
      </w:pPr>
      <w:r>
        <w:rPr>
          <w:rFonts w:ascii="Times New Roman" w:hAnsi="Times New Roman" w:cs="Times New Roman"/>
          <w:noProof/>
          <w:sz w:val="24"/>
          <w:szCs w:val="24"/>
        </w:rPr>
        <w:t xml:space="preserve">Goldberg, D., &amp; Williams, P. (1988). </w:t>
      </w:r>
      <w:r w:rsidRPr="00FD6027">
        <w:rPr>
          <w:rFonts w:ascii="Times New Roman" w:hAnsi="Times New Roman" w:cs="Times New Roman"/>
          <w:i/>
          <w:noProof/>
          <w:sz w:val="24"/>
          <w:szCs w:val="24"/>
        </w:rPr>
        <w:t>User’s guide to the General Health Questionnaire</w:t>
      </w:r>
      <w:r>
        <w:rPr>
          <w:rFonts w:ascii="Times New Roman" w:hAnsi="Times New Roman" w:cs="Times New Roman"/>
          <w:noProof/>
          <w:sz w:val="24"/>
          <w:szCs w:val="24"/>
        </w:rPr>
        <w:t>. Windsor: NFER-Nelson</w:t>
      </w:r>
      <w:r w:rsidRPr="00630963">
        <w:rPr>
          <w:rFonts w:ascii="Times New Roman" w:hAnsi="Times New Roman" w:cs="Times New Roman"/>
          <w:noProof/>
          <w:sz w:val="24"/>
          <w:szCs w:val="24"/>
        </w:rPr>
        <w:t>.</w:t>
      </w:r>
    </w:p>
    <w:p w:rsidR="000261B9" w:rsidRDefault="000261B9" w:rsidP="00461457">
      <w:pPr>
        <w:spacing w:after="0" w:line="360" w:lineRule="auto"/>
        <w:ind w:left="567" w:hanging="567"/>
        <w:rPr>
          <w:rFonts w:ascii="Times New Roman" w:hAnsi="Times New Roman" w:cs="Times New Roman"/>
          <w:sz w:val="24"/>
          <w:szCs w:val="24"/>
        </w:rPr>
      </w:pPr>
      <w:r w:rsidRPr="00F30460">
        <w:rPr>
          <w:rFonts w:ascii="Times New Roman" w:hAnsi="Times New Roman" w:cs="Times New Roman"/>
          <w:sz w:val="24"/>
          <w:szCs w:val="24"/>
        </w:rPr>
        <w:t>Hemingway,</w:t>
      </w:r>
      <w:r>
        <w:rPr>
          <w:rFonts w:ascii="Times New Roman" w:hAnsi="Times New Roman" w:cs="Times New Roman"/>
          <w:sz w:val="24"/>
          <w:szCs w:val="24"/>
        </w:rPr>
        <w:t xml:space="preserve"> H., &amp; </w:t>
      </w:r>
      <w:r w:rsidRPr="00F30460">
        <w:rPr>
          <w:rFonts w:ascii="Times New Roman" w:hAnsi="Times New Roman" w:cs="Times New Roman"/>
          <w:sz w:val="24"/>
          <w:szCs w:val="24"/>
        </w:rPr>
        <w:t>Marmot</w:t>
      </w:r>
      <w:r>
        <w:rPr>
          <w:rFonts w:ascii="Times New Roman" w:hAnsi="Times New Roman" w:cs="Times New Roman"/>
          <w:sz w:val="24"/>
          <w:szCs w:val="24"/>
        </w:rPr>
        <w:t xml:space="preserve">, M. (1999). </w:t>
      </w:r>
      <w:r w:rsidRPr="00F30460">
        <w:rPr>
          <w:rFonts w:ascii="Times New Roman" w:hAnsi="Times New Roman" w:cs="Times New Roman"/>
          <w:sz w:val="24"/>
          <w:szCs w:val="24"/>
        </w:rPr>
        <w:t>Psychosocial factors in the aetiology and progno</w:t>
      </w:r>
      <w:r>
        <w:rPr>
          <w:rFonts w:ascii="Times New Roman" w:hAnsi="Times New Roman" w:cs="Times New Roman"/>
          <w:sz w:val="24"/>
          <w:szCs w:val="24"/>
        </w:rPr>
        <w:t>sis of coronary heart disease: S</w:t>
      </w:r>
      <w:r w:rsidRPr="00F30460">
        <w:rPr>
          <w:rFonts w:ascii="Times New Roman" w:hAnsi="Times New Roman" w:cs="Times New Roman"/>
          <w:sz w:val="24"/>
          <w:szCs w:val="24"/>
        </w:rPr>
        <w:t>ystematic revie</w:t>
      </w:r>
      <w:r>
        <w:rPr>
          <w:rFonts w:ascii="Times New Roman" w:hAnsi="Times New Roman" w:cs="Times New Roman"/>
          <w:sz w:val="24"/>
          <w:szCs w:val="24"/>
        </w:rPr>
        <w:t xml:space="preserve">w of prospective cohort studies. </w:t>
      </w:r>
      <w:r w:rsidRPr="00FD6027">
        <w:rPr>
          <w:rFonts w:ascii="Times New Roman" w:hAnsi="Times New Roman" w:cs="Times New Roman"/>
          <w:i/>
          <w:sz w:val="24"/>
          <w:szCs w:val="24"/>
        </w:rPr>
        <w:t>BMJ, 318</w:t>
      </w:r>
      <w:r>
        <w:rPr>
          <w:rFonts w:ascii="Times New Roman" w:hAnsi="Times New Roman" w:cs="Times New Roman"/>
          <w:sz w:val="24"/>
          <w:szCs w:val="24"/>
        </w:rPr>
        <w:t>, 1460-146</w:t>
      </w:r>
      <w:r w:rsidRPr="00F30460">
        <w:rPr>
          <w:rFonts w:ascii="Times New Roman" w:hAnsi="Times New Roman" w:cs="Times New Roman"/>
          <w:sz w:val="24"/>
          <w:szCs w:val="24"/>
        </w:rPr>
        <w:t>7</w:t>
      </w:r>
      <w:r>
        <w:rPr>
          <w:rFonts w:ascii="Times New Roman" w:hAnsi="Times New Roman" w:cs="Times New Roman"/>
          <w:sz w:val="24"/>
          <w:szCs w:val="24"/>
        </w:rPr>
        <w:t>.</w:t>
      </w:r>
    </w:p>
    <w:p w:rsidR="00E16B33" w:rsidRDefault="004A4CE6" w:rsidP="00461457">
      <w:pPr>
        <w:spacing w:after="0" w:line="360" w:lineRule="auto"/>
        <w:ind w:left="567" w:hanging="567"/>
        <w:rPr>
          <w:rFonts w:ascii="Times New Roman" w:hAnsi="Times New Roman" w:cs="Times New Roman"/>
          <w:sz w:val="24"/>
          <w:szCs w:val="24"/>
        </w:rPr>
      </w:pPr>
      <w:r>
        <w:rPr>
          <w:rFonts w:ascii="Times New Roman" w:eastAsia="Calibri" w:hAnsi="Times New Roman" w:cs="Times New Roman"/>
          <w:sz w:val="24"/>
          <w:szCs w:val="24"/>
        </w:rPr>
        <w:t>Kearney, P.</w:t>
      </w:r>
      <w:r w:rsidR="009349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 Cronin, H., </w:t>
      </w:r>
      <w:proofErr w:type="spellStart"/>
      <w:r>
        <w:rPr>
          <w:rFonts w:ascii="Times New Roman" w:eastAsia="Calibri" w:hAnsi="Times New Roman" w:cs="Times New Roman"/>
          <w:sz w:val="24"/>
          <w:szCs w:val="24"/>
        </w:rPr>
        <w:t>O’Regan</w:t>
      </w:r>
      <w:proofErr w:type="spellEnd"/>
      <w:r>
        <w:rPr>
          <w:rFonts w:ascii="Times New Roman" w:eastAsia="Calibri" w:hAnsi="Times New Roman" w:cs="Times New Roman"/>
          <w:sz w:val="24"/>
          <w:szCs w:val="24"/>
        </w:rPr>
        <w:t xml:space="preserve">, C., </w:t>
      </w:r>
      <w:proofErr w:type="spellStart"/>
      <w:r>
        <w:rPr>
          <w:rFonts w:ascii="Times New Roman" w:eastAsia="Calibri" w:hAnsi="Times New Roman" w:cs="Times New Roman"/>
          <w:sz w:val="24"/>
          <w:szCs w:val="24"/>
        </w:rPr>
        <w:t>Kamiya</w:t>
      </w:r>
      <w:proofErr w:type="spellEnd"/>
      <w:r>
        <w:rPr>
          <w:rFonts w:ascii="Times New Roman" w:eastAsia="Calibri" w:hAnsi="Times New Roman" w:cs="Times New Roman"/>
          <w:sz w:val="24"/>
          <w:szCs w:val="24"/>
        </w:rPr>
        <w:t>, Y., Savva, G.</w:t>
      </w:r>
      <w:r w:rsidR="0093494D">
        <w:rPr>
          <w:rFonts w:ascii="Times New Roman" w:eastAsia="Calibri" w:hAnsi="Times New Roman" w:cs="Times New Roman"/>
          <w:sz w:val="24"/>
          <w:szCs w:val="24"/>
        </w:rPr>
        <w:t xml:space="preserve"> </w:t>
      </w:r>
      <w:r>
        <w:rPr>
          <w:rFonts w:ascii="Times New Roman" w:eastAsia="Calibri" w:hAnsi="Times New Roman" w:cs="Times New Roman"/>
          <w:sz w:val="24"/>
          <w:szCs w:val="24"/>
        </w:rPr>
        <w:t>M., Whelan, B., &amp; Kenny, R.</w:t>
      </w:r>
      <w:r w:rsidR="00E16B33">
        <w:rPr>
          <w:rFonts w:ascii="Times New Roman" w:eastAsia="Calibri" w:hAnsi="Times New Roman" w:cs="Times New Roman"/>
          <w:sz w:val="24"/>
          <w:szCs w:val="24"/>
        </w:rPr>
        <w:t xml:space="preserve"> (2011). Cohort p</w:t>
      </w:r>
      <w:r w:rsidR="00E16B33" w:rsidRPr="00DA3343">
        <w:rPr>
          <w:rFonts w:ascii="Times New Roman" w:eastAsia="Calibri" w:hAnsi="Times New Roman" w:cs="Times New Roman"/>
          <w:sz w:val="24"/>
          <w:szCs w:val="24"/>
        </w:rPr>
        <w:t xml:space="preserve">rofile: The Irish Longitudinal </w:t>
      </w:r>
      <w:r w:rsidR="00E16B33" w:rsidRPr="000C496D">
        <w:rPr>
          <w:rFonts w:ascii="Times New Roman" w:eastAsia="Calibri" w:hAnsi="Times New Roman" w:cs="Times New Roman"/>
          <w:sz w:val="24"/>
          <w:szCs w:val="24"/>
        </w:rPr>
        <w:t xml:space="preserve">Study on Ageing. </w:t>
      </w:r>
      <w:r w:rsidR="00E16B33">
        <w:rPr>
          <w:rFonts w:ascii="Times New Roman" w:hAnsi="Times New Roman" w:cs="Times New Roman"/>
          <w:i/>
          <w:iCs/>
          <w:sz w:val="24"/>
          <w:szCs w:val="24"/>
        </w:rPr>
        <w:t>International Journal of Epidemiology,</w:t>
      </w:r>
      <w:r w:rsidR="00E16B33" w:rsidRPr="0096080B">
        <w:rPr>
          <w:rFonts w:ascii="Times New Roman" w:hAnsi="Times New Roman" w:cs="Times New Roman"/>
          <w:i/>
          <w:iCs/>
          <w:sz w:val="24"/>
          <w:szCs w:val="24"/>
        </w:rPr>
        <w:t xml:space="preserve"> </w:t>
      </w:r>
      <w:r w:rsidR="00E16B33" w:rsidRPr="0096080B">
        <w:rPr>
          <w:rFonts w:ascii="Times New Roman" w:hAnsi="Times New Roman" w:cs="Times New Roman"/>
          <w:i/>
          <w:sz w:val="24"/>
          <w:szCs w:val="24"/>
        </w:rPr>
        <w:t>40</w:t>
      </w:r>
      <w:r w:rsidR="00E16B33">
        <w:rPr>
          <w:rFonts w:ascii="Times New Roman" w:hAnsi="Times New Roman" w:cs="Times New Roman"/>
          <w:sz w:val="24"/>
          <w:szCs w:val="24"/>
        </w:rPr>
        <w:t>, 877-8</w:t>
      </w:r>
      <w:r w:rsidR="00E16B33" w:rsidRPr="000C496D">
        <w:rPr>
          <w:rFonts w:ascii="Times New Roman" w:hAnsi="Times New Roman" w:cs="Times New Roman"/>
          <w:sz w:val="24"/>
          <w:szCs w:val="24"/>
        </w:rPr>
        <w:t>84.</w:t>
      </w:r>
    </w:p>
    <w:p w:rsidR="00E06DE9" w:rsidRDefault="003D549D" w:rsidP="00461457">
      <w:pPr>
        <w:spacing w:after="0" w:line="360" w:lineRule="auto"/>
        <w:ind w:left="567" w:hanging="567"/>
        <w:rPr>
          <w:rFonts w:ascii="Times New Roman" w:hAnsi="Times New Roman" w:cs="Times New Roman"/>
          <w:sz w:val="24"/>
          <w:szCs w:val="24"/>
        </w:rPr>
      </w:pPr>
      <w:proofErr w:type="spellStart"/>
      <w:r w:rsidRPr="0084036C">
        <w:rPr>
          <w:rFonts w:ascii="Times New Roman" w:hAnsi="Times New Roman" w:cs="Times New Roman"/>
          <w:sz w:val="24"/>
          <w:szCs w:val="24"/>
        </w:rPr>
        <w:t>Layte</w:t>
      </w:r>
      <w:proofErr w:type="spellEnd"/>
      <w:r>
        <w:rPr>
          <w:rFonts w:ascii="Times New Roman" w:hAnsi="Times New Roman" w:cs="Times New Roman"/>
          <w:sz w:val="24"/>
          <w:szCs w:val="24"/>
        </w:rPr>
        <w:t>,</w:t>
      </w:r>
      <w:r w:rsidRPr="0084036C">
        <w:rPr>
          <w:rFonts w:ascii="Times New Roman" w:hAnsi="Times New Roman" w:cs="Times New Roman"/>
          <w:sz w:val="24"/>
          <w:szCs w:val="24"/>
        </w:rPr>
        <w:t xml:space="preserve"> R</w:t>
      </w:r>
      <w:r>
        <w:rPr>
          <w:rFonts w:ascii="Times New Roman" w:hAnsi="Times New Roman" w:cs="Times New Roman"/>
          <w:sz w:val="24"/>
          <w:szCs w:val="24"/>
        </w:rPr>
        <w:t>.</w:t>
      </w:r>
      <w:r w:rsidRPr="0084036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4036C">
        <w:rPr>
          <w:rFonts w:ascii="Times New Roman" w:hAnsi="Times New Roman" w:cs="Times New Roman"/>
          <w:sz w:val="24"/>
          <w:szCs w:val="24"/>
        </w:rPr>
        <w:t>Nolan</w:t>
      </w:r>
      <w:r>
        <w:rPr>
          <w:rFonts w:ascii="Times New Roman" w:hAnsi="Times New Roman" w:cs="Times New Roman"/>
          <w:sz w:val="24"/>
          <w:szCs w:val="24"/>
        </w:rPr>
        <w:t>,</w:t>
      </w:r>
      <w:r w:rsidRPr="0084036C">
        <w:rPr>
          <w:rFonts w:ascii="Times New Roman" w:hAnsi="Times New Roman" w:cs="Times New Roman"/>
          <w:sz w:val="24"/>
          <w:szCs w:val="24"/>
        </w:rPr>
        <w:t xml:space="preserve"> A</w:t>
      </w:r>
      <w:r>
        <w:rPr>
          <w:rFonts w:ascii="Times New Roman" w:hAnsi="Times New Roman" w:cs="Times New Roman"/>
          <w:sz w:val="24"/>
          <w:szCs w:val="24"/>
        </w:rPr>
        <w:t>.</w:t>
      </w:r>
      <w:r w:rsidRPr="0084036C">
        <w:rPr>
          <w:rFonts w:ascii="Times New Roman" w:hAnsi="Times New Roman" w:cs="Times New Roman"/>
          <w:sz w:val="24"/>
          <w:szCs w:val="24"/>
        </w:rPr>
        <w:t xml:space="preserve"> (2015). Eligibility for free GP care and the utilisation of GP services by children in Ireland. </w:t>
      </w:r>
      <w:r w:rsidRPr="003D549D">
        <w:rPr>
          <w:rFonts w:ascii="Times New Roman" w:hAnsi="Times New Roman" w:cs="Times New Roman"/>
          <w:i/>
          <w:sz w:val="24"/>
          <w:szCs w:val="24"/>
        </w:rPr>
        <w:t>International Journal of Health Economics and Management, 15</w:t>
      </w:r>
      <w:r w:rsidRPr="0084036C">
        <w:rPr>
          <w:rFonts w:ascii="Times New Roman" w:hAnsi="Times New Roman" w:cs="Times New Roman"/>
          <w:sz w:val="24"/>
          <w:szCs w:val="24"/>
        </w:rPr>
        <w:t xml:space="preserve">, </w:t>
      </w:r>
      <w:r>
        <w:rPr>
          <w:rFonts w:ascii="Times New Roman" w:hAnsi="Times New Roman" w:cs="Times New Roman"/>
          <w:sz w:val="24"/>
          <w:szCs w:val="24"/>
        </w:rPr>
        <w:t>3-</w:t>
      </w:r>
      <w:r w:rsidRPr="0084036C">
        <w:rPr>
          <w:rFonts w:ascii="Times New Roman" w:hAnsi="Times New Roman" w:cs="Times New Roman"/>
          <w:sz w:val="24"/>
          <w:szCs w:val="24"/>
        </w:rPr>
        <w:t>27.</w:t>
      </w:r>
    </w:p>
    <w:p w:rsidR="00E06DE9" w:rsidRPr="00725D07" w:rsidRDefault="00725D07"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Levi, F., </w:t>
      </w:r>
      <w:proofErr w:type="spellStart"/>
      <w:r>
        <w:rPr>
          <w:rFonts w:ascii="Times New Roman" w:hAnsi="Times New Roman" w:cs="Times New Roman"/>
          <w:sz w:val="24"/>
          <w:szCs w:val="24"/>
        </w:rPr>
        <w:t>Chatenoud</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Bertuccio</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Lucchini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E., &amp; La </w:t>
      </w:r>
      <w:proofErr w:type="spellStart"/>
      <w:r>
        <w:rPr>
          <w:rFonts w:ascii="Times New Roman" w:hAnsi="Times New Roman" w:cs="Times New Roman"/>
          <w:sz w:val="24"/>
          <w:szCs w:val="24"/>
        </w:rPr>
        <w:t>Vecchia</w:t>
      </w:r>
      <w:proofErr w:type="spellEnd"/>
      <w:r>
        <w:rPr>
          <w:rFonts w:ascii="Times New Roman" w:hAnsi="Times New Roman" w:cs="Times New Roman"/>
          <w:sz w:val="24"/>
          <w:szCs w:val="24"/>
        </w:rPr>
        <w:t xml:space="preserve">, C. (2009). </w:t>
      </w:r>
      <w:r w:rsidR="00E06DE9" w:rsidRPr="00E06DE9">
        <w:rPr>
          <w:rFonts w:ascii="Times New Roman" w:hAnsi="Times New Roman" w:cs="Times New Roman"/>
          <w:sz w:val="24"/>
          <w:szCs w:val="24"/>
        </w:rPr>
        <w:t xml:space="preserve">Mortality from cardiovascular and cerebrovascular diseases in Europe and other areas of the world: </w:t>
      </w:r>
      <w:r w:rsidR="00E06DE9">
        <w:rPr>
          <w:rFonts w:ascii="Times New Roman" w:hAnsi="Times New Roman" w:cs="Times New Roman"/>
          <w:sz w:val="24"/>
          <w:szCs w:val="24"/>
        </w:rPr>
        <w:t>A</w:t>
      </w:r>
      <w:r w:rsidR="00E06DE9" w:rsidRPr="00E06DE9">
        <w:rPr>
          <w:rFonts w:ascii="Times New Roman" w:hAnsi="Times New Roman" w:cs="Times New Roman"/>
          <w:sz w:val="24"/>
          <w:szCs w:val="24"/>
        </w:rPr>
        <w:t xml:space="preserve">n update. </w:t>
      </w:r>
      <w:r w:rsidR="00E06DE9" w:rsidRPr="00E06DE9">
        <w:rPr>
          <w:rFonts w:ascii="Times New Roman" w:hAnsi="Times New Roman" w:cs="Times New Roman"/>
          <w:i/>
          <w:sz w:val="24"/>
          <w:szCs w:val="24"/>
        </w:rPr>
        <w:t>European Journal of Preventive Cardiology, 6</w:t>
      </w:r>
      <w:r w:rsidR="00E06DE9">
        <w:rPr>
          <w:rFonts w:ascii="Times New Roman" w:hAnsi="Times New Roman" w:cs="Times New Roman"/>
          <w:sz w:val="24"/>
          <w:szCs w:val="24"/>
        </w:rPr>
        <w:t>, 333-3</w:t>
      </w:r>
      <w:r w:rsidR="00E06DE9" w:rsidRPr="00E06DE9">
        <w:rPr>
          <w:rFonts w:ascii="Times New Roman" w:hAnsi="Times New Roman" w:cs="Times New Roman"/>
          <w:sz w:val="24"/>
          <w:szCs w:val="24"/>
        </w:rPr>
        <w:t>50.</w:t>
      </w:r>
    </w:p>
    <w:p w:rsidR="007F24F8" w:rsidRDefault="007F24F8"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Maguire, A., French, D., &amp; O’Reilly, D. (2016). Residential segregation, dividing walls and mental health: A population-based record linkage study. Journal of Epidemiology and Community Health, 70, 845-854.</w:t>
      </w:r>
    </w:p>
    <w:p w:rsidR="00E16B33" w:rsidRDefault="00E16B33"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Mari, J., &amp; Williams, P. (1985). </w:t>
      </w:r>
      <w:r w:rsidRPr="00B57E4F">
        <w:rPr>
          <w:rFonts w:ascii="Times New Roman" w:hAnsi="Times New Roman" w:cs="Times New Roman"/>
          <w:sz w:val="24"/>
          <w:szCs w:val="24"/>
        </w:rPr>
        <w:t>A comparison of the validity of two psychiatric screening questionnaires (GHQ-12 and SRQ-20) in Brazil, using relative operating characteristic (ROC) analysi</w:t>
      </w:r>
      <w:r>
        <w:rPr>
          <w:rFonts w:ascii="Times New Roman" w:hAnsi="Times New Roman" w:cs="Times New Roman"/>
          <w:sz w:val="24"/>
          <w:szCs w:val="24"/>
        </w:rPr>
        <w:t xml:space="preserve">s. </w:t>
      </w:r>
      <w:r>
        <w:rPr>
          <w:rFonts w:ascii="Times New Roman" w:hAnsi="Times New Roman" w:cs="Times New Roman"/>
          <w:i/>
          <w:sz w:val="24"/>
          <w:szCs w:val="24"/>
        </w:rPr>
        <w:t>Psychological Medicine</w:t>
      </w:r>
      <w:r w:rsidRPr="00FF1589">
        <w:rPr>
          <w:rFonts w:ascii="Times New Roman" w:hAnsi="Times New Roman" w:cs="Times New Roman"/>
          <w:i/>
          <w:sz w:val="24"/>
          <w:szCs w:val="24"/>
        </w:rPr>
        <w:t>, 15</w:t>
      </w:r>
      <w:r>
        <w:rPr>
          <w:rFonts w:ascii="Times New Roman" w:hAnsi="Times New Roman" w:cs="Times New Roman"/>
          <w:sz w:val="24"/>
          <w:szCs w:val="24"/>
        </w:rPr>
        <w:t>, 651-65</w:t>
      </w:r>
      <w:r w:rsidRPr="00B57E4F">
        <w:rPr>
          <w:rFonts w:ascii="Times New Roman" w:hAnsi="Times New Roman" w:cs="Times New Roman"/>
          <w:sz w:val="24"/>
          <w:szCs w:val="24"/>
        </w:rPr>
        <w:t>9</w:t>
      </w:r>
      <w:r>
        <w:rPr>
          <w:rFonts w:ascii="Times New Roman" w:hAnsi="Times New Roman" w:cs="Times New Roman"/>
          <w:sz w:val="24"/>
          <w:szCs w:val="24"/>
        </w:rPr>
        <w:t>.</w:t>
      </w:r>
    </w:p>
    <w:p w:rsidR="005E0784" w:rsidRDefault="004A4CE6" w:rsidP="00461457">
      <w:pPr>
        <w:spacing w:after="0" w:line="360" w:lineRule="auto"/>
        <w:ind w:left="567" w:hanging="567"/>
        <w:rPr>
          <w:rFonts w:ascii="Times New Roman" w:hAnsi="Times New Roman" w:cs="Times New Roman"/>
          <w:sz w:val="24"/>
          <w:szCs w:val="24"/>
        </w:rPr>
      </w:pPr>
      <w:r w:rsidRPr="0048469A">
        <w:rPr>
          <w:rFonts w:ascii="Times New Roman" w:hAnsi="Times New Roman" w:cs="Times New Roman"/>
          <w:sz w:val="24"/>
          <w:szCs w:val="24"/>
        </w:rPr>
        <w:t>Matthews</w:t>
      </w:r>
      <w:r>
        <w:rPr>
          <w:rFonts w:ascii="Times New Roman" w:hAnsi="Times New Roman" w:cs="Times New Roman"/>
          <w:sz w:val="24"/>
          <w:szCs w:val="24"/>
        </w:rPr>
        <w:t>,</w:t>
      </w:r>
      <w:r w:rsidRPr="0048469A">
        <w:rPr>
          <w:rFonts w:ascii="Times New Roman" w:hAnsi="Times New Roman" w:cs="Times New Roman"/>
          <w:sz w:val="24"/>
          <w:szCs w:val="24"/>
        </w:rPr>
        <w:t xml:space="preserve"> K</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48469A">
        <w:rPr>
          <w:rFonts w:ascii="Times New Roman" w:hAnsi="Times New Roman" w:cs="Times New Roman"/>
          <w:sz w:val="24"/>
          <w:szCs w:val="24"/>
        </w:rPr>
        <w:t>A</w:t>
      </w:r>
      <w:r>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Meilahn</w:t>
      </w:r>
      <w:proofErr w:type="spellEnd"/>
      <w:r>
        <w:rPr>
          <w:rFonts w:ascii="Times New Roman" w:hAnsi="Times New Roman" w:cs="Times New Roman"/>
          <w:sz w:val="24"/>
          <w:szCs w:val="24"/>
        </w:rPr>
        <w:t>,</w:t>
      </w:r>
      <w:r w:rsidRPr="0048469A">
        <w:rPr>
          <w:rFonts w:ascii="Times New Roman" w:hAnsi="Times New Roman" w:cs="Times New Roman"/>
          <w:sz w:val="24"/>
          <w:szCs w:val="24"/>
        </w:rPr>
        <w:t xml:space="preserve"> E</w:t>
      </w:r>
      <w:r>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Kuller</w:t>
      </w:r>
      <w:proofErr w:type="spellEnd"/>
      <w:r>
        <w:rPr>
          <w:rFonts w:ascii="Times New Roman" w:hAnsi="Times New Roman" w:cs="Times New Roman"/>
          <w:sz w:val="24"/>
          <w:szCs w:val="24"/>
        </w:rPr>
        <w:t>,</w:t>
      </w:r>
      <w:r w:rsidRPr="0048469A">
        <w:rPr>
          <w:rFonts w:ascii="Times New Roman" w:hAnsi="Times New Roman" w:cs="Times New Roman"/>
          <w:sz w:val="24"/>
          <w:szCs w:val="24"/>
        </w:rPr>
        <w:t xml:space="preserve"> L</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48469A">
        <w:rPr>
          <w:rFonts w:ascii="Times New Roman" w:hAnsi="Times New Roman" w:cs="Times New Roman"/>
          <w:sz w:val="24"/>
          <w:szCs w:val="24"/>
        </w:rPr>
        <w:t>H</w:t>
      </w:r>
      <w:r>
        <w:rPr>
          <w:rFonts w:ascii="Times New Roman" w:hAnsi="Times New Roman" w:cs="Times New Roman"/>
          <w:sz w:val="24"/>
          <w:szCs w:val="24"/>
        </w:rPr>
        <w:t>.</w:t>
      </w:r>
      <w:r w:rsidRPr="0048469A">
        <w:rPr>
          <w:rFonts w:ascii="Times New Roman" w:hAnsi="Times New Roman" w:cs="Times New Roman"/>
          <w:sz w:val="24"/>
          <w:szCs w:val="24"/>
        </w:rPr>
        <w:t>, Kelsey</w:t>
      </w:r>
      <w:r>
        <w:rPr>
          <w:rFonts w:ascii="Times New Roman" w:hAnsi="Times New Roman" w:cs="Times New Roman"/>
          <w:sz w:val="24"/>
          <w:szCs w:val="24"/>
        </w:rPr>
        <w:t>,</w:t>
      </w:r>
      <w:r w:rsidRPr="0048469A">
        <w:rPr>
          <w:rFonts w:ascii="Times New Roman" w:hAnsi="Times New Roman" w:cs="Times New Roman"/>
          <w:sz w:val="24"/>
          <w:szCs w:val="24"/>
        </w:rPr>
        <w:t xml:space="preserve"> S</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48469A">
        <w:rPr>
          <w:rFonts w:ascii="Times New Roman" w:hAnsi="Times New Roman" w:cs="Times New Roman"/>
          <w:sz w:val="24"/>
          <w:szCs w:val="24"/>
        </w:rPr>
        <w:t>F</w:t>
      </w:r>
      <w:r>
        <w:rPr>
          <w:rFonts w:ascii="Times New Roman" w:hAnsi="Times New Roman" w:cs="Times New Roman"/>
          <w:sz w:val="24"/>
          <w:szCs w:val="24"/>
        </w:rPr>
        <w:t>.</w:t>
      </w:r>
      <w:r w:rsidRPr="0048469A">
        <w:rPr>
          <w:rFonts w:ascii="Times New Roman" w:hAnsi="Times New Roman" w:cs="Times New Roman"/>
          <w:sz w:val="24"/>
          <w:szCs w:val="24"/>
        </w:rPr>
        <w:t xml:space="preserve">, </w:t>
      </w:r>
      <w:proofErr w:type="spellStart"/>
      <w:r w:rsidRPr="0048469A">
        <w:rPr>
          <w:rFonts w:ascii="Times New Roman" w:hAnsi="Times New Roman" w:cs="Times New Roman"/>
          <w:sz w:val="24"/>
          <w:szCs w:val="24"/>
        </w:rPr>
        <w:t>Caggiula</w:t>
      </w:r>
      <w:proofErr w:type="spellEnd"/>
      <w:r>
        <w:rPr>
          <w:rFonts w:ascii="Times New Roman" w:hAnsi="Times New Roman" w:cs="Times New Roman"/>
          <w:sz w:val="24"/>
          <w:szCs w:val="24"/>
        </w:rPr>
        <w:t>,</w:t>
      </w:r>
      <w:r w:rsidRPr="0048469A">
        <w:rPr>
          <w:rFonts w:ascii="Times New Roman" w:hAnsi="Times New Roman" w:cs="Times New Roman"/>
          <w:sz w:val="24"/>
          <w:szCs w:val="24"/>
        </w:rPr>
        <w:t xml:space="preserve"> A</w:t>
      </w:r>
      <w:r>
        <w:rPr>
          <w:rFonts w:ascii="Times New Roman" w:hAnsi="Times New Roman" w:cs="Times New Roman"/>
          <w:sz w:val="24"/>
          <w:szCs w:val="24"/>
        </w:rPr>
        <w:t>.</w:t>
      </w:r>
      <w:r w:rsidR="0093494D">
        <w:rPr>
          <w:rFonts w:ascii="Times New Roman" w:hAnsi="Times New Roman" w:cs="Times New Roman"/>
          <w:sz w:val="24"/>
          <w:szCs w:val="24"/>
        </w:rPr>
        <w:t xml:space="preserve"> </w:t>
      </w:r>
      <w:r w:rsidRPr="0048469A">
        <w:rPr>
          <w:rFonts w:ascii="Times New Roman" w:hAnsi="Times New Roman" w:cs="Times New Roman"/>
          <w:sz w:val="24"/>
          <w:szCs w:val="24"/>
        </w:rPr>
        <w:t>W</w:t>
      </w:r>
      <w:r>
        <w:rPr>
          <w:rFonts w:ascii="Times New Roman" w:hAnsi="Times New Roman" w:cs="Times New Roman"/>
          <w:sz w:val="24"/>
          <w:szCs w:val="24"/>
        </w:rPr>
        <w:t>.</w:t>
      </w:r>
      <w:r w:rsidRPr="0048469A">
        <w:rPr>
          <w:rFonts w:ascii="Times New Roman" w:hAnsi="Times New Roman" w:cs="Times New Roman"/>
          <w:sz w:val="24"/>
          <w:szCs w:val="24"/>
        </w:rPr>
        <w:t>,</w:t>
      </w:r>
      <w:r>
        <w:rPr>
          <w:rFonts w:ascii="Times New Roman" w:hAnsi="Times New Roman" w:cs="Times New Roman"/>
          <w:sz w:val="24"/>
          <w:szCs w:val="24"/>
        </w:rPr>
        <w:t xml:space="preserve"> &amp;</w:t>
      </w:r>
      <w:r w:rsidRPr="0048469A">
        <w:rPr>
          <w:rFonts w:ascii="Times New Roman" w:hAnsi="Times New Roman" w:cs="Times New Roman"/>
          <w:sz w:val="24"/>
          <w:szCs w:val="24"/>
        </w:rPr>
        <w:t xml:space="preserve"> Wing</w:t>
      </w:r>
      <w:r>
        <w:rPr>
          <w:rFonts w:ascii="Times New Roman" w:hAnsi="Times New Roman" w:cs="Times New Roman"/>
          <w:sz w:val="24"/>
          <w:szCs w:val="24"/>
        </w:rPr>
        <w:t xml:space="preserve">, </w:t>
      </w:r>
      <w:r w:rsidRPr="0048469A">
        <w:rPr>
          <w:rFonts w:ascii="Times New Roman" w:hAnsi="Times New Roman" w:cs="Times New Roman"/>
          <w:sz w:val="24"/>
          <w:szCs w:val="24"/>
        </w:rPr>
        <w:t>R</w:t>
      </w:r>
      <w:r w:rsidR="0093494D">
        <w:rPr>
          <w:rFonts w:ascii="Times New Roman" w:hAnsi="Times New Roman" w:cs="Times New Roman"/>
          <w:sz w:val="24"/>
          <w:szCs w:val="24"/>
        </w:rPr>
        <w:t xml:space="preserve">. </w:t>
      </w:r>
      <w:r w:rsidRPr="0048469A">
        <w:rPr>
          <w:rFonts w:ascii="Times New Roman" w:hAnsi="Times New Roman" w:cs="Times New Roman"/>
          <w:sz w:val="24"/>
          <w:szCs w:val="24"/>
        </w:rPr>
        <w:t>R.</w:t>
      </w:r>
      <w:r w:rsidR="00E16B33">
        <w:rPr>
          <w:rFonts w:ascii="Times New Roman" w:hAnsi="Times New Roman" w:cs="Times New Roman"/>
          <w:sz w:val="24"/>
          <w:szCs w:val="24"/>
        </w:rPr>
        <w:t xml:space="preserve"> (1989). </w:t>
      </w:r>
      <w:r w:rsidR="00E16B33" w:rsidRPr="0048469A">
        <w:rPr>
          <w:rFonts w:ascii="Times New Roman" w:hAnsi="Times New Roman" w:cs="Times New Roman"/>
          <w:sz w:val="24"/>
          <w:szCs w:val="24"/>
        </w:rPr>
        <w:t>Menopause and risk factors for coronary heart disease.</w:t>
      </w:r>
      <w:r w:rsidR="00E16B33">
        <w:rPr>
          <w:rFonts w:ascii="Times New Roman" w:hAnsi="Times New Roman" w:cs="Times New Roman"/>
          <w:sz w:val="24"/>
          <w:szCs w:val="24"/>
        </w:rPr>
        <w:t xml:space="preserve"> </w:t>
      </w:r>
      <w:r w:rsidR="00E16B33" w:rsidRPr="008A3D5A">
        <w:rPr>
          <w:rFonts w:ascii="Times New Roman" w:hAnsi="Times New Roman" w:cs="Times New Roman"/>
          <w:i/>
          <w:sz w:val="24"/>
          <w:szCs w:val="24"/>
        </w:rPr>
        <w:t>N</w:t>
      </w:r>
      <w:r w:rsidR="00E16B33">
        <w:rPr>
          <w:rFonts w:ascii="Times New Roman" w:hAnsi="Times New Roman" w:cs="Times New Roman"/>
          <w:i/>
          <w:sz w:val="24"/>
          <w:szCs w:val="24"/>
        </w:rPr>
        <w:t>ew</w:t>
      </w:r>
      <w:r w:rsidR="00E16B33" w:rsidRPr="008A3D5A">
        <w:rPr>
          <w:rFonts w:ascii="Times New Roman" w:hAnsi="Times New Roman" w:cs="Times New Roman"/>
          <w:i/>
          <w:sz w:val="24"/>
          <w:szCs w:val="24"/>
        </w:rPr>
        <w:t xml:space="preserve"> Engl</w:t>
      </w:r>
      <w:r w:rsidR="00E16B33">
        <w:rPr>
          <w:rFonts w:ascii="Times New Roman" w:hAnsi="Times New Roman" w:cs="Times New Roman"/>
          <w:i/>
          <w:sz w:val="24"/>
          <w:szCs w:val="24"/>
        </w:rPr>
        <w:t>and</w:t>
      </w:r>
      <w:r w:rsidR="00E16B33" w:rsidRPr="008A3D5A">
        <w:rPr>
          <w:rFonts w:ascii="Times New Roman" w:hAnsi="Times New Roman" w:cs="Times New Roman"/>
          <w:i/>
          <w:sz w:val="24"/>
          <w:szCs w:val="24"/>
        </w:rPr>
        <w:t xml:space="preserve"> J</w:t>
      </w:r>
      <w:r w:rsidR="00E16B33">
        <w:rPr>
          <w:rFonts w:ascii="Times New Roman" w:hAnsi="Times New Roman" w:cs="Times New Roman"/>
          <w:i/>
          <w:sz w:val="24"/>
          <w:szCs w:val="24"/>
        </w:rPr>
        <w:t xml:space="preserve">ournal of </w:t>
      </w:r>
      <w:r w:rsidR="00E16B33" w:rsidRPr="008A3D5A">
        <w:rPr>
          <w:rFonts w:ascii="Times New Roman" w:hAnsi="Times New Roman" w:cs="Times New Roman"/>
          <w:i/>
          <w:sz w:val="24"/>
          <w:szCs w:val="24"/>
        </w:rPr>
        <w:t>Med</w:t>
      </w:r>
      <w:r w:rsidR="00E16B33">
        <w:rPr>
          <w:rFonts w:ascii="Times New Roman" w:hAnsi="Times New Roman" w:cs="Times New Roman"/>
          <w:i/>
          <w:sz w:val="24"/>
          <w:szCs w:val="24"/>
        </w:rPr>
        <w:t>icine,</w:t>
      </w:r>
      <w:r w:rsidR="00E16B33" w:rsidRPr="00FF1589">
        <w:rPr>
          <w:rFonts w:ascii="Times New Roman" w:hAnsi="Times New Roman" w:cs="Times New Roman"/>
          <w:i/>
          <w:sz w:val="24"/>
          <w:szCs w:val="24"/>
        </w:rPr>
        <w:t xml:space="preserve"> 321</w:t>
      </w:r>
      <w:r w:rsidR="00E16B33">
        <w:rPr>
          <w:rFonts w:ascii="Times New Roman" w:hAnsi="Times New Roman" w:cs="Times New Roman"/>
          <w:sz w:val="24"/>
          <w:szCs w:val="24"/>
        </w:rPr>
        <w:t>, 641-64</w:t>
      </w:r>
      <w:r w:rsidR="00E16B33" w:rsidRPr="0048469A">
        <w:rPr>
          <w:rFonts w:ascii="Times New Roman" w:hAnsi="Times New Roman" w:cs="Times New Roman"/>
          <w:sz w:val="24"/>
          <w:szCs w:val="24"/>
        </w:rPr>
        <w:t>6.</w:t>
      </w:r>
    </w:p>
    <w:p w:rsidR="005E0784" w:rsidRDefault="00CD271D"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McGee, H., O’Hanlon, A., Barker, M., Hickey, A., </w:t>
      </w:r>
      <w:proofErr w:type="spellStart"/>
      <w:r>
        <w:rPr>
          <w:rFonts w:ascii="Times New Roman" w:hAnsi="Times New Roman" w:cs="Times New Roman"/>
          <w:sz w:val="24"/>
          <w:szCs w:val="24"/>
        </w:rPr>
        <w:t>Garavan</w:t>
      </w:r>
      <w:proofErr w:type="spellEnd"/>
      <w:r>
        <w:rPr>
          <w:rFonts w:ascii="Times New Roman" w:hAnsi="Times New Roman" w:cs="Times New Roman"/>
          <w:sz w:val="24"/>
          <w:szCs w:val="24"/>
        </w:rPr>
        <w:t xml:space="preserve">, R., Conroy, R., </w:t>
      </w:r>
      <w:proofErr w:type="spellStart"/>
      <w:r>
        <w:rPr>
          <w:rFonts w:ascii="Times New Roman" w:hAnsi="Times New Roman" w:cs="Times New Roman"/>
          <w:sz w:val="24"/>
          <w:szCs w:val="24"/>
        </w:rPr>
        <w:t>Layte</w:t>
      </w:r>
      <w:proofErr w:type="spellEnd"/>
      <w:r>
        <w:rPr>
          <w:rFonts w:ascii="Times New Roman" w:hAnsi="Times New Roman" w:cs="Times New Roman"/>
          <w:sz w:val="24"/>
          <w:szCs w:val="24"/>
        </w:rPr>
        <w:t xml:space="preserve">, R., Shelley, E., </w:t>
      </w:r>
      <w:proofErr w:type="spellStart"/>
      <w:r>
        <w:rPr>
          <w:rFonts w:ascii="Times New Roman" w:hAnsi="Times New Roman" w:cs="Times New Roman"/>
          <w:sz w:val="24"/>
          <w:szCs w:val="24"/>
        </w:rPr>
        <w:t>Horgan</w:t>
      </w:r>
      <w:proofErr w:type="spellEnd"/>
      <w:r>
        <w:rPr>
          <w:rFonts w:ascii="Times New Roman" w:hAnsi="Times New Roman" w:cs="Times New Roman"/>
          <w:sz w:val="24"/>
          <w:szCs w:val="24"/>
        </w:rPr>
        <w:t>, F., Crawford, V., Stout, R., &amp; O’Neill, D. (2005). One island – two systems: A comparison of health status and health and social service use by community-dwelling older people in the Republic of Ireland and Northern Ireland. Dublin: Institute of Public Health in Ireland.</w:t>
      </w:r>
    </w:p>
    <w:p w:rsidR="00A56988" w:rsidRDefault="00DA3355" w:rsidP="00461457">
      <w:pPr>
        <w:spacing w:after="0" w:line="360" w:lineRule="auto"/>
        <w:ind w:left="567" w:hanging="567"/>
        <w:rPr>
          <w:rFonts w:ascii="Times New Roman" w:hAnsi="Times New Roman" w:cs="Times New Roman"/>
          <w:sz w:val="24"/>
          <w:szCs w:val="24"/>
        </w:rPr>
      </w:pPr>
      <w:r w:rsidRPr="000D0194">
        <w:rPr>
          <w:rFonts w:ascii="Times New Roman" w:hAnsi="Times New Roman" w:cs="Times New Roman"/>
          <w:sz w:val="24"/>
          <w:szCs w:val="24"/>
        </w:rPr>
        <w:t xml:space="preserve">McGregor, P., &amp; O’Neill, C. (2007). Comparing utilisation of health services on the island of Ireland’. In B. Nolan et al. (eds.), </w:t>
      </w:r>
      <w:proofErr w:type="gramStart"/>
      <w:r w:rsidRPr="000D0194">
        <w:rPr>
          <w:rFonts w:ascii="Times New Roman" w:hAnsi="Times New Roman" w:cs="Times New Roman"/>
          <w:i/>
          <w:sz w:val="24"/>
          <w:szCs w:val="24"/>
        </w:rPr>
        <w:t>The</w:t>
      </w:r>
      <w:proofErr w:type="gramEnd"/>
      <w:r w:rsidRPr="000D0194">
        <w:rPr>
          <w:rFonts w:ascii="Times New Roman" w:hAnsi="Times New Roman" w:cs="Times New Roman"/>
          <w:i/>
          <w:sz w:val="24"/>
          <w:szCs w:val="24"/>
        </w:rPr>
        <w:t xml:space="preserve"> provision and use of health services, health inequalities and health and social gain</w:t>
      </w:r>
      <w:r w:rsidRPr="000D0194">
        <w:rPr>
          <w:rFonts w:ascii="Times New Roman" w:hAnsi="Times New Roman" w:cs="Times New Roman"/>
          <w:sz w:val="24"/>
          <w:szCs w:val="24"/>
        </w:rPr>
        <w:t>. Books and monographs published by the ESRI, No. 196. Dublin: Economic and</w:t>
      </w:r>
      <w:r w:rsidR="003D549D" w:rsidRPr="000D0194">
        <w:rPr>
          <w:rFonts w:ascii="Times New Roman" w:hAnsi="Times New Roman" w:cs="Times New Roman"/>
          <w:sz w:val="24"/>
          <w:szCs w:val="24"/>
        </w:rPr>
        <w:t xml:space="preserve"> Social Research Institute</w:t>
      </w:r>
      <w:r w:rsidR="00707CF6" w:rsidRPr="000D0194">
        <w:rPr>
          <w:rFonts w:ascii="Times New Roman" w:hAnsi="Times New Roman" w:cs="Times New Roman"/>
          <w:sz w:val="24"/>
          <w:szCs w:val="24"/>
        </w:rPr>
        <w:t>.</w:t>
      </w:r>
    </w:p>
    <w:p w:rsidR="00F13C7F" w:rsidRPr="00E967E7" w:rsidRDefault="00F75D07" w:rsidP="00461457">
      <w:pPr>
        <w:spacing w:after="0" w:line="360" w:lineRule="auto"/>
        <w:ind w:left="567" w:hanging="567"/>
        <w:rPr>
          <w:rFonts w:ascii="Times New Roman" w:hAnsi="Times New Roman" w:cs="Times New Roman"/>
          <w:sz w:val="24"/>
          <w:szCs w:val="24"/>
        </w:rPr>
      </w:pPr>
      <w:proofErr w:type="spellStart"/>
      <w:r w:rsidRPr="008E70EC">
        <w:rPr>
          <w:rFonts w:ascii="Times New Roman" w:hAnsi="Times New Roman" w:cs="Times New Roman"/>
          <w:sz w:val="24"/>
          <w:szCs w:val="24"/>
        </w:rPr>
        <w:t>Oldri</w:t>
      </w:r>
      <w:r w:rsidR="00F707A7">
        <w:rPr>
          <w:rFonts w:ascii="Times New Roman" w:hAnsi="Times New Roman" w:cs="Times New Roman"/>
          <w:sz w:val="24"/>
          <w:szCs w:val="24"/>
        </w:rPr>
        <w:t>dge</w:t>
      </w:r>
      <w:proofErr w:type="spellEnd"/>
      <w:r w:rsidR="002E177F">
        <w:rPr>
          <w:rFonts w:ascii="Times New Roman" w:hAnsi="Times New Roman" w:cs="Times New Roman"/>
          <w:sz w:val="24"/>
          <w:szCs w:val="24"/>
        </w:rPr>
        <w:t>,</w:t>
      </w:r>
      <w:r w:rsidR="00F707A7">
        <w:rPr>
          <w:rFonts w:ascii="Times New Roman" w:hAnsi="Times New Roman" w:cs="Times New Roman"/>
          <w:sz w:val="24"/>
          <w:szCs w:val="24"/>
        </w:rPr>
        <w:t xml:space="preserve"> N</w:t>
      </w:r>
      <w:r w:rsidR="002E177F">
        <w:rPr>
          <w:rFonts w:ascii="Times New Roman" w:hAnsi="Times New Roman" w:cs="Times New Roman"/>
          <w:sz w:val="24"/>
          <w:szCs w:val="24"/>
        </w:rPr>
        <w:t>.</w:t>
      </w:r>
      <w:r w:rsidR="0093494D">
        <w:rPr>
          <w:rFonts w:ascii="Times New Roman" w:hAnsi="Times New Roman" w:cs="Times New Roman"/>
          <w:sz w:val="24"/>
          <w:szCs w:val="24"/>
        </w:rPr>
        <w:t xml:space="preserve"> </w:t>
      </w:r>
      <w:r w:rsidR="00F707A7">
        <w:rPr>
          <w:rFonts w:ascii="Times New Roman" w:hAnsi="Times New Roman" w:cs="Times New Roman"/>
          <w:sz w:val="24"/>
          <w:szCs w:val="24"/>
        </w:rPr>
        <w:t>B</w:t>
      </w:r>
      <w:r w:rsidR="002E177F">
        <w:rPr>
          <w:rFonts w:ascii="Times New Roman" w:hAnsi="Times New Roman" w:cs="Times New Roman"/>
          <w:sz w:val="24"/>
          <w:szCs w:val="24"/>
        </w:rPr>
        <w:t>.</w:t>
      </w:r>
      <w:r w:rsidR="00F707A7">
        <w:rPr>
          <w:rFonts w:ascii="Times New Roman" w:hAnsi="Times New Roman" w:cs="Times New Roman"/>
          <w:sz w:val="24"/>
          <w:szCs w:val="24"/>
        </w:rPr>
        <w:t xml:space="preserve">, </w:t>
      </w:r>
      <w:r w:rsidR="002E177F">
        <w:rPr>
          <w:rFonts w:ascii="Times New Roman" w:hAnsi="Times New Roman" w:cs="Times New Roman"/>
          <w:sz w:val="24"/>
          <w:szCs w:val="24"/>
        </w:rPr>
        <w:t xml:space="preserve">&amp; </w:t>
      </w:r>
      <w:r w:rsidR="00F707A7">
        <w:rPr>
          <w:rFonts w:ascii="Times New Roman" w:hAnsi="Times New Roman" w:cs="Times New Roman"/>
          <w:sz w:val="24"/>
          <w:szCs w:val="24"/>
        </w:rPr>
        <w:t>Stump</w:t>
      </w:r>
      <w:r w:rsidR="002E177F">
        <w:rPr>
          <w:rFonts w:ascii="Times New Roman" w:hAnsi="Times New Roman" w:cs="Times New Roman"/>
          <w:sz w:val="24"/>
          <w:szCs w:val="24"/>
        </w:rPr>
        <w:t>,</w:t>
      </w:r>
      <w:r w:rsidR="00F707A7">
        <w:rPr>
          <w:rFonts w:ascii="Times New Roman" w:hAnsi="Times New Roman" w:cs="Times New Roman"/>
          <w:sz w:val="24"/>
          <w:szCs w:val="24"/>
        </w:rPr>
        <w:t xml:space="preserve"> T</w:t>
      </w:r>
      <w:r w:rsidR="002E177F">
        <w:rPr>
          <w:rFonts w:ascii="Times New Roman" w:hAnsi="Times New Roman" w:cs="Times New Roman"/>
          <w:sz w:val="24"/>
          <w:szCs w:val="24"/>
        </w:rPr>
        <w:t>.</w:t>
      </w:r>
      <w:r w:rsidR="0093494D">
        <w:rPr>
          <w:rFonts w:ascii="Times New Roman" w:hAnsi="Times New Roman" w:cs="Times New Roman"/>
          <w:sz w:val="24"/>
          <w:szCs w:val="24"/>
        </w:rPr>
        <w:t xml:space="preserve"> </w:t>
      </w:r>
      <w:r w:rsidR="00F707A7">
        <w:rPr>
          <w:rFonts w:ascii="Times New Roman" w:hAnsi="Times New Roman" w:cs="Times New Roman"/>
          <w:sz w:val="24"/>
          <w:szCs w:val="24"/>
        </w:rPr>
        <w:t>E</w:t>
      </w:r>
      <w:r w:rsidR="008343A5">
        <w:rPr>
          <w:rFonts w:ascii="Times New Roman" w:hAnsi="Times New Roman" w:cs="Times New Roman"/>
          <w:sz w:val="24"/>
          <w:szCs w:val="24"/>
        </w:rPr>
        <w:t>.</w:t>
      </w:r>
      <w:r>
        <w:rPr>
          <w:rFonts w:ascii="Times New Roman" w:hAnsi="Times New Roman" w:cs="Times New Roman"/>
          <w:sz w:val="24"/>
          <w:szCs w:val="24"/>
        </w:rPr>
        <w:t xml:space="preserve"> </w:t>
      </w:r>
      <w:r w:rsidR="002E177F">
        <w:rPr>
          <w:rFonts w:ascii="Times New Roman" w:hAnsi="Times New Roman" w:cs="Times New Roman"/>
          <w:sz w:val="24"/>
          <w:szCs w:val="24"/>
        </w:rPr>
        <w:t xml:space="preserve">(2004). </w:t>
      </w:r>
      <w:r w:rsidRPr="008E70EC">
        <w:rPr>
          <w:rFonts w:ascii="Times New Roman" w:hAnsi="Times New Roman" w:cs="Times New Roman"/>
          <w:sz w:val="24"/>
          <w:szCs w:val="24"/>
        </w:rPr>
        <w:t>Heart disease, comorbidity, and activity limitatio</w:t>
      </w:r>
      <w:r>
        <w:rPr>
          <w:rFonts w:ascii="Times New Roman" w:hAnsi="Times New Roman" w:cs="Times New Roman"/>
          <w:sz w:val="24"/>
          <w:szCs w:val="24"/>
        </w:rPr>
        <w:t xml:space="preserve">n in community-dwelling elderly. </w:t>
      </w:r>
      <w:r w:rsidR="001F7941">
        <w:rPr>
          <w:rFonts w:ascii="Times New Roman" w:hAnsi="Times New Roman" w:cs="Times New Roman"/>
          <w:i/>
          <w:sz w:val="24"/>
          <w:szCs w:val="24"/>
        </w:rPr>
        <w:t>Eur</w:t>
      </w:r>
      <w:r w:rsidR="002E177F">
        <w:rPr>
          <w:rFonts w:ascii="Times New Roman" w:hAnsi="Times New Roman" w:cs="Times New Roman"/>
          <w:i/>
          <w:sz w:val="24"/>
          <w:szCs w:val="24"/>
        </w:rPr>
        <w:t>opean</w:t>
      </w:r>
      <w:r w:rsidR="001F7941">
        <w:rPr>
          <w:rFonts w:ascii="Times New Roman" w:hAnsi="Times New Roman" w:cs="Times New Roman"/>
          <w:i/>
          <w:sz w:val="24"/>
          <w:szCs w:val="24"/>
        </w:rPr>
        <w:t xml:space="preserve"> J</w:t>
      </w:r>
      <w:r w:rsidR="002E177F">
        <w:rPr>
          <w:rFonts w:ascii="Times New Roman" w:hAnsi="Times New Roman" w:cs="Times New Roman"/>
          <w:i/>
          <w:sz w:val="24"/>
          <w:szCs w:val="24"/>
        </w:rPr>
        <w:t>ournal of</w:t>
      </w:r>
      <w:r w:rsidR="001F7941">
        <w:rPr>
          <w:rFonts w:ascii="Times New Roman" w:hAnsi="Times New Roman" w:cs="Times New Roman"/>
          <w:i/>
          <w:sz w:val="24"/>
          <w:szCs w:val="24"/>
        </w:rPr>
        <w:t xml:space="preserve"> Cardiovasc</w:t>
      </w:r>
      <w:r w:rsidR="002E177F">
        <w:rPr>
          <w:rFonts w:ascii="Times New Roman" w:hAnsi="Times New Roman" w:cs="Times New Roman"/>
          <w:i/>
          <w:sz w:val="24"/>
          <w:szCs w:val="24"/>
        </w:rPr>
        <w:t>ular</w:t>
      </w:r>
      <w:r w:rsidR="001F7941">
        <w:rPr>
          <w:rFonts w:ascii="Times New Roman" w:hAnsi="Times New Roman" w:cs="Times New Roman"/>
          <w:i/>
          <w:sz w:val="24"/>
          <w:szCs w:val="24"/>
        </w:rPr>
        <w:t xml:space="preserve"> Prev</w:t>
      </w:r>
      <w:r w:rsidR="002E177F">
        <w:rPr>
          <w:rFonts w:ascii="Times New Roman" w:hAnsi="Times New Roman" w:cs="Times New Roman"/>
          <w:i/>
          <w:sz w:val="24"/>
          <w:szCs w:val="24"/>
        </w:rPr>
        <w:t>ention and</w:t>
      </w:r>
      <w:r w:rsidR="001F7941">
        <w:rPr>
          <w:rFonts w:ascii="Times New Roman" w:hAnsi="Times New Roman" w:cs="Times New Roman"/>
          <w:i/>
          <w:sz w:val="24"/>
          <w:szCs w:val="24"/>
        </w:rPr>
        <w:t xml:space="preserve"> Rehabil</w:t>
      </w:r>
      <w:r w:rsidR="002E177F">
        <w:rPr>
          <w:rFonts w:ascii="Times New Roman" w:hAnsi="Times New Roman" w:cs="Times New Roman"/>
          <w:i/>
          <w:sz w:val="24"/>
          <w:szCs w:val="24"/>
        </w:rPr>
        <w:t>itation,</w:t>
      </w:r>
      <w:r w:rsidRPr="002E177F">
        <w:rPr>
          <w:rFonts w:ascii="Times New Roman" w:hAnsi="Times New Roman" w:cs="Times New Roman"/>
          <w:i/>
          <w:sz w:val="24"/>
          <w:szCs w:val="24"/>
        </w:rPr>
        <w:t xml:space="preserve"> 11</w:t>
      </w:r>
      <w:r w:rsidR="002E177F">
        <w:rPr>
          <w:rFonts w:ascii="Times New Roman" w:hAnsi="Times New Roman" w:cs="Times New Roman"/>
          <w:sz w:val="24"/>
          <w:szCs w:val="24"/>
        </w:rPr>
        <w:t>,</w:t>
      </w:r>
      <w:r w:rsidR="00733501">
        <w:rPr>
          <w:rFonts w:ascii="Times New Roman" w:hAnsi="Times New Roman" w:cs="Times New Roman"/>
          <w:sz w:val="24"/>
          <w:szCs w:val="24"/>
        </w:rPr>
        <w:t xml:space="preserve"> </w:t>
      </w:r>
      <w:r w:rsidRPr="008343A5">
        <w:rPr>
          <w:rFonts w:ascii="Times New Roman" w:hAnsi="Times New Roman" w:cs="Times New Roman"/>
          <w:sz w:val="24"/>
          <w:szCs w:val="24"/>
        </w:rPr>
        <w:t>427</w:t>
      </w:r>
      <w:r>
        <w:rPr>
          <w:rFonts w:ascii="Times New Roman" w:hAnsi="Times New Roman" w:cs="Times New Roman"/>
          <w:sz w:val="24"/>
          <w:szCs w:val="24"/>
        </w:rPr>
        <w:t>-</w:t>
      </w:r>
      <w:r w:rsidR="00733501">
        <w:rPr>
          <w:rFonts w:ascii="Times New Roman" w:hAnsi="Times New Roman" w:cs="Times New Roman"/>
          <w:sz w:val="24"/>
          <w:szCs w:val="24"/>
        </w:rPr>
        <w:t>4</w:t>
      </w:r>
      <w:r w:rsidRPr="008E70EC">
        <w:rPr>
          <w:rFonts w:ascii="Times New Roman" w:hAnsi="Times New Roman" w:cs="Times New Roman"/>
          <w:sz w:val="24"/>
          <w:szCs w:val="24"/>
        </w:rPr>
        <w:t>34</w:t>
      </w:r>
      <w:r>
        <w:rPr>
          <w:rFonts w:ascii="Times New Roman" w:hAnsi="Times New Roman" w:cs="Times New Roman"/>
          <w:sz w:val="24"/>
          <w:szCs w:val="24"/>
        </w:rPr>
        <w:t>.</w:t>
      </w:r>
    </w:p>
    <w:p w:rsidR="005B6553" w:rsidRDefault="005B6553" w:rsidP="00461457">
      <w:pPr>
        <w:spacing w:after="0" w:line="360" w:lineRule="auto"/>
        <w:ind w:left="567" w:hanging="567"/>
        <w:rPr>
          <w:rFonts w:ascii="Times New Roman" w:eastAsia="Calibri" w:hAnsi="Times New Roman" w:cs="Times New Roman"/>
          <w:sz w:val="24"/>
          <w:szCs w:val="24"/>
          <w:lang w:val="en-US"/>
        </w:rPr>
      </w:pPr>
      <w:r w:rsidRPr="00097458">
        <w:rPr>
          <w:rFonts w:ascii="Times New Roman" w:eastAsia="Calibri" w:hAnsi="Times New Roman" w:cs="Times New Roman"/>
          <w:sz w:val="24"/>
          <w:szCs w:val="24"/>
          <w:lang w:val="en-US"/>
        </w:rPr>
        <w:t xml:space="preserve">O’Reilly, D., </w:t>
      </w:r>
      <w:r>
        <w:rPr>
          <w:rFonts w:ascii="Times New Roman" w:eastAsia="Calibri" w:hAnsi="Times New Roman" w:cs="Times New Roman"/>
          <w:sz w:val="24"/>
          <w:szCs w:val="24"/>
          <w:lang w:val="en-US"/>
        </w:rPr>
        <w:t xml:space="preserve">&amp; </w:t>
      </w:r>
      <w:r w:rsidRPr="00097458">
        <w:rPr>
          <w:rFonts w:ascii="Times New Roman" w:eastAsia="Calibri" w:hAnsi="Times New Roman" w:cs="Times New Roman"/>
          <w:sz w:val="24"/>
          <w:szCs w:val="24"/>
          <w:lang w:val="en-US"/>
        </w:rPr>
        <w:t>Brown</w:t>
      </w:r>
      <w:r>
        <w:rPr>
          <w:rFonts w:ascii="Times New Roman" w:eastAsia="Calibri" w:hAnsi="Times New Roman" w:cs="Times New Roman"/>
          <w:sz w:val="24"/>
          <w:szCs w:val="24"/>
          <w:lang w:val="en-US"/>
        </w:rPr>
        <w:t xml:space="preserve">e, S. </w:t>
      </w:r>
      <w:r w:rsidRPr="00097458">
        <w:rPr>
          <w:rFonts w:ascii="Times New Roman" w:eastAsia="Calibri" w:hAnsi="Times New Roman" w:cs="Times New Roman"/>
          <w:sz w:val="24"/>
          <w:szCs w:val="24"/>
          <w:lang w:val="en-US"/>
        </w:rPr>
        <w:t>(2001).</w:t>
      </w:r>
      <w:r>
        <w:rPr>
          <w:rFonts w:ascii="Times New Roman" w:eastAsia="Calibri" w:hAnsi="Times New Roman" w:cs="Times New Roman"/>
          <w:sz w:val="24"/>
          <w:szCs w:val="24"/>
          <w:lang w:val="en-US"/>
        </w:rPr>
        <w:t xml:space="preserve"> </w:t>
      </w:r>
      <w:r w:rsidRPr="005B6553">
        <w:rPr>
          <w:rFonts w:ascii="Times New Roman" w:eastAsia="Calibri" w:hAnsi="Times New Roman" w:cs="Times New Roman"/>
          <w:i/>
          <w:sz w:val="24"/>
          <w:szCs w:val="24"/>
          <w:lang w:val="en-US"/>
        </w:rPr>
        <w:t>Health and health services use in Northern Ireland: Social variations report to the Department of Health, Social Services and Public Safety</w:t>
      </w:r>
      <w:r>
        <w:rPr>
          <w:rFonts w:ascii="Times New Roman" w:eastAsia="Calibri" w:hAnsi="Times New Roman" w:cs="Times New Roman"/>
          <w:sz w:val="24"/>
          <w:szCs w:val="24"/>
          <w:lang w:val="en-US"/>
        </w:rPr>
        <w:t xml:space="preserve">. Belfast: </w:t>
      </w:r>
      <w:proofErr w:type="gramStart"/>
      <w:r>
        <w:rPr>
          <w:rFonts w:ascii="Times New Roman" w:eastAsia="Calibri" w:hAnsi="Times New Roman" w:cs="Times New Roman"/>
          <w:sz w:val="24"/>
          <w:szCs w:val="24"/>
          <w:lang w:val="en-US"/>
        </w:rPr>
        <w:t>DHSSPS(</w:t>
      </w:r>
      <w:proofErr w:type="gramEnd"/>
      <w:r>
        <w:rPr>
          <w:rFonts w:ascii="Times New Roman" w:eastAsia="Calibri" w:hAnsi="Times New Roman" w:cs="Times New Roman"/>
          <w:sz w:val="24"/>
          <w:szCs w:val="24"/>
          <w:lang w:val="en-US"/>
        </w:rPr>
        <w:t>NI).</w:t>
      </w:r>
    </w:p>
    <w:p w:rsidR="003D549D" w:rsidRPr="003D549D" w:rsidRDefault="003D549D"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O’</w:t>
      </w:r>
      <w:r w:rsidRPr="0084036C">
        <w:rPr>
          <w:rFonts w:ascii="Times New Roman" w:hAnsi="Times New Roman" w:cs="Times New Roman"/>
          <w:sz w:val="24"/>
          <w:szCs w:val="24"/>
        </w:rPr>
        <w:t>Reilly</w:t>
      </w:r>
      <w:r>
        <w:rPr>
          <w:rFonts w:ascii="Times New Roman" w:hAnsi="Times New Roman" w:cs="Times New Roman"/>
          <w:sz w:val="24"/>
          <w:szCs w:val="24"/>
        </w:rPr>
        <w:t>,</w:t>
      </w:r>
      <w:r w:rsidRPr="0084036C">
        <w:rPr>
          <w:rFonts w:ascii="Times New Roman" w:hAnsi="Times New Roman" w:cs="Times New Roman"/>
          <w:sz w:val="24"/>
          <w:szCs w:val="24"/>
        </w:rPr>
        <w:t xml:space="preserve"> D</w:t>
      </w:r>
      <w:r>
        <w:rPr>
          <w:rFonts w:ascii="Times New Roman" w:hAnsi="Times New Roman" w:cs="Times New Roman"/>
          <w:sz w:val="24"/>
          <w:szCs w:val="24"/>
        </w:rPr>
        <w:t>., O’Dowd, T., Galway, K. J., Murphy, A.W., O’</w:t>
      </w:r>
      <w:r w:rsidRPr="0084036C">
        <w:rPr>
          <w:rFonts w:ascii="Times New Roman" w:hAnsi="Times New Roman" w:cs="Times New Roman"/>
          <w:sz w:val="24"/>
          <w:szCs w:val="24"/>
        </w:rPr>
        <w:t>Neill</w:t>
      </w:r>
      <w:r>
        <w:rPr>
          <w:rFonts w:ascii="Times New Roman" w:hAnsi="Times New Roman" w:cs="Times New Roman"/>
          <w:sz w:val="24"/>
          <w:szCs w:val="24"/>
        </w:rPr>
        <w:t>,</w:t>
      </w:r>
      <w:r w:rsidRPr="0084036C">
        <w:rPr>
          <w:rFonts w:ascii="Times New Roman" w:hAnsi="Times New Roman" w:cs="Times New Roman"/>
          <w:sz w:val="24"/>
          <w:szCs w:val="24"/>
        </w:rPr>
        <w:t xml:space="preserve"> C</w:t>
      </w:r>
      <w:r>
        <w:rPr>
          <w:rFonts w:ascii="Times New Roman" w:hAnsi="Times New Roman" w:cs="Times New Roman"/>
          <w:sz w:val="24"/>
          <w:szCs w:val="24"/>
        </w:rPr>
        <w:t>.</w:t>
      </w:r>
      <w:r w:rsidRPr="003D549D">
        <w:rPr>
          <w:rFonts w:ascii="Times New Roman" w:hAnsi="Times New Roman" w:cs="Times New Roman"/>
          <w:bCs/>
          <w:sz w:val="24"/>
          <w:szCs w:val="24"/>
        </w:rPr>
        <w:t>,</w:t>
      </w:r>
      <w:r w:rsidRPr="0084036C">
        <w:rPr>
          <w:rFonts w:ascii="Times New Roman" w:hAnsi="Times New Roman" w:cs="Times New Roman"/>
          <w:sz w:val="24"/>
          <w:szCs w:val="24"/>
        </w:rPr>
        <w:t xml:space="preserve"> </w:t>
      </w:r>
      <w:proofErr w:type="spellStart"/>
      <w:r w:rsidRPr="0084036C">
        <w:rPr>
          <w:rFonts w:ascii="Times New Roman" w:hAnsi="Times New Roman" w:cs="Times New Roman"/>
          <w:sz w:val="24"/>
          <w:szCs w:val="24"/>
        </w:rPr>
        <w:t>Shryane</w:t>
      </w:r>
      <w:proofErr w:type="spellEnd"/>
      <w:r>
        <w:rPr>
          <w:rFonts w:ascii="Times New Roman" w:hAnsi="Times New Roman" w:cs="Times New Roman"/>
          <w:sz w:val="24"/>
          <w:szCs w:val="24"/>
        </w:rPr>
        <w:t>,</w:t>
      </w:r>
      <w:r w:rsidRPr="0084036C">
        <w:rPr>
          <w:rFonts w:ascii="Times New Roman" w:hAnsi="Times New Roman" w:cs="Times New Roman"/>
          <w:sz w:val="24"/>
          <w:szCs w:val="24"/>
        </w:rPr>
        <w:t xml:space="preserve"> E</w:t>
      </w:r>
      <w:r>
        <w:rPr>
          <w:rFonts w:ascii="Times New Roman" w:hAnsi="Times New Roman" w:cs="Times New Roman"/>
          <w:sz w:val="24"/>
          <w:szCs w:val="24"/>
        </w:rPr>
        <w:t>.</w:t>
      </w:r>
      <w:r w:rsidRPr="0084036C">
        <w:rPr>
          <w:rFonts w:ascii="Times New Roman" w:hAnsi="Times New Roman" w:cs="Times New Roman"/>
          <w:sz w:val="24"/>
          <w:szCs w:val="24"/>
        </w:rPr>
        <w:t>, Steele</w:t>
      </w:r>
      <w:r>
        <w:rPr>
          <w:rFonts w:ascii="Times New Roman" w:hAnsi="Times New Roman" w:cs="Times New Roman"/>
          <w:sz w:val="24"/>
          <w:szCs w:val="24"/>
        </w:rPr>
        <w:t>,</w:t>
      </w:r>
      <w:r w:rsidRPr="0084036C">
        <w:rPr>
          <w:rFonts w:ascii="Times New Roman" w:hAnsi="Times New Roman" w:cs="Times New Roman"/>
          <w:sz w:val="24"/>
          <w:szCs w:val="24"/>
        </w:rPr>
        <w:t xml:space="preserve"> K</w:t>
      </w:r>
      <w:r>
        <w:rPr>
          <w:rFonts w:ascii="Times New Roman" w:hAnsi="Times New Roman" w:cs="Times New Roman"/>
          <w:sz w:val="24"/>
          <w:szCs w:val="24"/>
        </w:rPr>
        <w:t>.</w:t>
      </w:r>
      <w:r w:rsidRPr="0084036C">
        <w:rPr>
          <w:rFonts w:ascii="Times New Roman" w:hAnsi="Times New Roman" w:cs="Times New Roman"/>
          <w:sz w:val="24"/>
          <w:szCs w:val="24"/>
        </w:rPr>
        <w:t>, Bury</w:t>
      </w:r>
      <w:r>
        <w:rPr>
          <w:rFonts w:ascii="Times New Roman" w:hAnsi="Times New Roman" w:cs="Times New Roman"/>
          <w:sz w:val="24"/>
          <w:szCs w:val="24"/>
        </w:rPr>
        <w:t>,</w:t>
      </w:r>
      <w:r w:rsidRPr="0084036C">
        <w:rPr>
          <w:rFonts w:ascii="Times New Roman" w:hAnsi="Times New Roman" w:cs="Times New Roman"/>
          <w:sz w:val="24"/>
          <w:szCs w:val="24"/>
        </w:rPr>
        <w:t xml:space="preserve"> G</w:t>
      </w:r>
      <w:r>
        <w:rPr>
          <w:rFonts w:ascii="Times New Roman" w:hAnsi="Times New Roman" w:cs="Times New Roman"/>
          <w:sz w:val="24"/>
          <w:szCs w:val="24"/>
        </w:rPr>
        <w:t>.</w:t>
      </w:r>
      <w:r w:rsidRPr="0084036C">
        <w:rPr>
          <w:rFonts w:ascii="Times New Roman" w:hAnsi="Times New Roman" w:cs="Times New Roman"/>
          <w:sz w:val="24"/>
          <w:szCs w:val="24"/>
        </w:rPr>
        <w:t>, Gilliland</w:t>
      </w:r>
      <w:r>
        <w:rPr>
          <w:rFonts w:ascii="Times New Roman" w:hAnsi="Times New Roman" w:cs="Times New Roman"/>
          <w:sz w:val="24"/>
          <w:szCs w:val="24"/>
        </w:rPr>
        <w:t>,</w:t>
      </w:r>
      <w:r w:rsidRPr="0084036C">
        <w:rPr>
          <w:rFonts w:ascii="Times New Roman" w:hAnsi="Times New Roman" w:cs="Times New Roman"/>
          <w:sz w:val="24"/>
          <w:szCs w:val="24"/>
        </w:rPr>
        <w:t xml:space="preserve"> A</w:t>
      </w:r>
      <w:r>
        <w:rPr>
          <w:rFonts w:ascii="Times New Roman" w:hAnsi="Times New Roman" w:cs="Times New Roman"/>
          <w:sz w:val="24"/>
          <w:szCs w:val="24"/>
        </w:rPr>
        <w:t>.</w:t>
      </w:r>
      <w:r w:rsidRPr="0084036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4036C">
        <w:rPr>
          <w:rFonts w:ascii="Times New Roman" w:hAnsi="Times New Roman" w:cs="Times New Roman"/>
          <w:sz w:val="24"/>
          <w:szCs w:val="24"/>
        </w:rPr>
        <w:t>Kelly</w:t>
      </w:r>
      <w:r>
        <w:rPr>
          <w:rFonts w:ascii="Times New Roman" w:hAnsi="Times New Roman" w:cs="Times New Roman"/>
          <w:sz w:val="24"/>
          <w:szCs w:val="24"/>
        </w:rPr>
        <w:t>,</w:t>
      </w:r>
      <w:r w:rsidRPr="0084036C">
        <w:rPr>
          <w:rFonts w:ascii="Times New Roman" w:hAnsi="Times New Roman" w:cs="Times New Roman"/>
          <w:sz w:val="24"/>
          <w:szCs w:val="24"/>
        </w:rPr>
        <w:t xml:space="preserve"> A. </w:t>
      </w:r>
      <w:r>
        <w:rPr>
          <w:rFonts w:ascii="Times New Roman" w:hAnsi="Times New Roman" w:cs="Times New Roman"/>
          <w:sz w:val="24"/>
          <w:szCs w:val="24"/>
        </w:rPr>
        <w:t xml:space="preserve">(2007). </w:t>
      </w:r>
      <w:r w:rsidRPr="0084036C">
        <w:rPr>
          <w:rFonts w:ascii="Times New Roman" w:hAnsi="Times New Roman" w:cs="Times New Roman"/>
          <w:sz w:val="24"/>
          <w:szCs w:val="24"/>
        </w:rPr>
        <w:t>Consultation charges in Ireland deter a large proportion o</w:t>
      </w:r>
      <w:r>
        <w:rPr>
          <w:rFonts w:ascii="Times New Roman" w:hAnsi="Times New Roman" w:cs="Times New Roman"/>
          <w:sz w:val="24"/>
          <w:szCs w:val="24"/>
        </w:rPr>
        <w:t>f patients from seeing the GP: R</w:t>
      </w:r>
      <w:r w:rsidRPr="0084036C">
        <w:rPr>
          <w:rFonts w:ascii="Times New Roman" w:hAnsi="Times New Roman" w:cs="Times New Roman"/>
          <w:sz w:val="24"/>
          <w:szCs w:val="24"/>
        </w:rPr>
        <w:t>esults of a cross-sectional survey.</w:t>
      </w:r>
      <w:r w:rsidR="00CD271D">
        <w:rPr>
          <w:rFonts w:ascii="Times New Roman" w:hAnsi="Times New Roman" w:cs="Times New Roman"/>
          <w:sz w:val="24"/>
          <w:szCs w:val="24"/>
        </w:rPr>
        <w:t xml:space="preserve"> </w:t>
      </w:r>
      <w:r w:rsidRPr="003D549D">
        <w:rPr>
          <w:rFonts w:ascii="Times New Roman" w:hAnsi="Times New Roman" w:cs="Times New Roman"/>
          <w:i/>
          <w:sz w:val="24"/>
          <w:szCs w:val="24"/>
          <w:u w:val="single"/>
        </w:rPr>
        <w:t>European Journal of General Practice</w:t>
      </w:r>
      <w:r w:rsidRPr="003D549D">
        <w:rPr>
          <w:rFonts w:ascii="Times New Roman" w:hAnsi="Times New Roman" w:cs="Times New Roman"/>
          <w:i/>
          <w:sz w:val="24"/>
          <w:szCs w:val="24"/>
        </w:rPr>
        <w:t>, 13</w:t>
      </w:r>
      <w:r>
        <w:rPr>
          <w:rFonts w:ascii="Times New Roman" w:hAnsi="Times New Roman" w:cs="Times New Roman"/>
          <w:sz w:val="24"/>
          <w:szCs w:val="24"/>
        </w:rPr>
        <w:t xml:space="preserve">, </w:t>
      </w:r>
      <w:r w:rsidRPr="0084036C">
        <w:rPr>
          <w:rFonts w:ascii="Times New Roman" w:hAnsi="Times New Roman" w:cs="Times New Roman"/>
          <w:sz w:val="24"/>
          <w:szCs w:val="24"/>
        </w:rPr>
        <w:t>231-</w:t>
      </w:r>
      <w:r>
        <w:rPr>
          <w:rFonts w:ascii="Times New Roman" w:hAnsi="Times New Roman" w:cs="Times New Roman"/>
          <w:sz w:val="24"/>
          <w:szCs w:val="24"/>
        </w:rPr>
        <w:t>23</w:t>
      </w:r>
      <w:r w:rsidRPr="0084036C">
        <w:rPr>
          <w:rFonts w:ascii="Times New Roman" w:hAnsi="Times New Roman" w:cs="Times New Roman"/>
          <w:sz w:val="24"/>
          <w:szCs w:val="24"/>
        </w:rPr>
        <w:t>6.</w:t>
      </w:r>
    </w:p>
    <w:p w:rsidR="00CD271D" w:rsidRDefault="00CD271D" w:rsidP="00461457">
      <w:pPr>
        <w:spacing w:after="0" w:line="36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O’Reilly, D., &amp; Stevenson, M. (2003). Mental health in Northern Ireland: Have “the Troubles” made it worse? Journal of Epidemiology and Community Health, 57, 488-492.</w:t>
      </w:r>
    </w:p>
    <w:p w:rsidR="00E16B33" w:rsidRPr="00E967E7" w:rsidRDefault="00E16B33" w:rsidP="00461457">
      <w:pPr>
        <w:spacing w:after="0" w:line="360" w:lineRule="auto"/>
        <w:ind w:left="567" w:hanging="567"/>
        <w:rPr>
          <w:rFonts w:ascii="Times New Roman" w:eastAsia="Calibri" w:hAnsi="Times New Roman" w:cs="Times New Roman"/>
          <w:sz w:val="24"/>
          <w:szCs w:val="24"/>
        </w:rPr>
      </w:pPr>
      <w:proofErr w:type="spellStart"/>
      <w:r w:rsidRPr="000C496D">
        <w:rPr>
          <w:rFonts w:ascii="Times New Roman" w:eastAsia="Calibri" w:hAnsi="Times New Roman" w:cs="Times New Roman"/>
          <w:sz w:val="24"/>
          <w:szCs w:val="24"/>
        </w:rPr>
        <w:t>Radloff</w:t>
      </w:r>
      <w:proofErr w:type="spellEnd"/>
      <w:r>
        <w:rPr>
          <w:rFonts w:ascii="Times New Roman" w:eastAsia="Calibri" w:hAnsi="Times New Roman" w:cs="Times New Roman"/>
          <w:sz w:val="24"/>
          <w:szCs w:val="24"/>
        </w:rPr>
        <w:t>,</w:t>
      </w:r>
      <w:r w:rsidRPr="000C496D">
        <w:rPr>
          <w:rFonts w:ascii="Times New Roman" w:eastAsia="Calibri" w:hAnsi="Times New Roman" w:cs="Times New Roman"/>
          <w:sz w:val="24"/>
          <w:szCs w:val="24"/>
        </w:rPr>
        <w:t xml:space="preserve"> L</w:t>
      </w:r>
      <w:r>
        <w:rPr>
          <w:rFonts w:ascii="Times New Roman" w:eastAsia="Calibri" w:hAnsi="Times New Roman" w:cs="Times New Roman"/>
          <w:sz w:val="24"/>
          <w:szCs w:val="24"/>
        </w:rPr>
        <w:t>.</w:t>
      </w:r>
      <w:r w:rsidR="0093494D">
        <w:rPr>
          <w:rFonts w:ascii="Times New Roman" w:eastAsia="Calibri" w:hAnsi="Times New Roman" w:cs="Times New Roman"/>
          <w:sz w:val="24"/>
          <w:szCs w:val="24"/>
        </w:rPr>
        <w:t xml:space="preserve"> </w:t>
      </w:r>
      <w:r w:rsidRPr="000C496D">
        <w:rPr>
          <w:rFonts w:ascii="Times New Roman" w:eastAsia="Calibri" w:hAnsi="Times New Roman" w:cs="Times New Roman"/>
          <w:sz w:val="24"/>
          <w:szCs w:val="24"/>
        </w:rPr>
        <w:t>S</w:t>
      </w:r>
      <w:r>
        <w:rPr>
          <w:rFonts w:ascii="Times New Roman" w:eastAsia="Calibri" w:hAnsi="Times New Roman" w:cs="Times New Roman"/>
          <w:sz w:val="24"/>
          <w:szCs w:val="24"/>
        </w:rPr>
        <w:t xml:space="preserve">. (1977). The CES-D Scale: </w:t>
      </w:r>
      <w:r w:rsidR="005161E9">
        <w:rPr>
          <w:rFonts w:ascii="Times New Roman" w:eastAsia="Calibri" w:hAnsi="Times New Roman" w:cs="Times New Roman"/>
          <w:sz w:val="24"/>
          <w:szCs w:val="24"/>
        </w:rPr>
        <w:t>A</w:t>
      </w:r>
      <w:r w:rsidRPr="000C496D">
        <w:rPr>
          <w:rFonts w:ascii="Times New Roman" w:eastAsia="Calibri" w:hAnsi="Times New Roman" w:cs="Times New Roman"/>
          <w:sz w:val="24"/>
          <w:szCs w:val="24"/>
        </w:rPr>
        <w:t xml:space="preserve"> self-report depression scale for research in the general population. </w:t>
      </w:r>
      <w:r>
        <w:rPr>
          <w:rFonts w:ascii="Times New Roman" w:eastAsia="Calibri" w:hAnsi="Times New Roman" w:cs="Times New Roman"/>
          <w:i/>
          <w:sz w:val="24"/>
          <w:szCs w:val="24"/>
        </w:rPr>
        <w:t>Applied Psychological Measurement</w:t>
      </w:r>
      <w:r w:rsidRPr="00FF1589">
        <w:rPr>
          <w:rFonts w:ascii="Times New Roman" w:eastAsia="Calibri" w:hAnsi="Times New Roman" w:cs="Times New Roman"/>
          <w:i/>
          <w:sz w:val="24"/>
          <w:szCs w:val="24"/>
        </w:rPr>
        <w:t>, 1</w:t>
      </w:r>
      <w:r>
        <w:rPr>
          <w:rFonts w:ascii="Times New Roman" w:eastAsia="Calibri" w:hAnsi="Times New Roman" w:cs="Times New Roman"/>
          <w:sz w:val="24"/>
          <w:szCs w:val="24"/>
        </w:rPr>
        <w:t xml:space="preserve">, </w:t>
      </w:r>
      <w:r w:rsidRPr="000C496D">
        <w:rPr>
          <w:rFonts w:ascii="Times New Roman" w:eastAsia="Calibri" w:hAnsi="Times New Roman" w:cs="Times New Roman"/>
          <w:sz w:val="24"/>
          <w:szCs w:val="24"/>
        </w:rPr>
        <w:t>385-401.</w:t>
      </w:r>
    </w:p>
    <w:p w:rsidR="00E16B33" w:rsidRPr="00367400" w:rsidRDefault="00E16B33" w:rsidP="00461457">
      <w:pPr>
        <w:autoSpaceDE w:val="0"/>
        <w:autoSpaceDN w:val="0"/>
        <w:adjustRightInd w:val="0"/>
        <w:spacing w:after="0" w:line="360" w:lineRule="auto"/>
        <w:ind w:left="567" w:hanging="567"/>
        <w:rPr>
          <w:rFonts w:ascii="Times New Roman" w:hAnsi="Times New Roman" w:cs="Times New Roman"/>
          <w:sz w:val="24"/>
          <w:szCs w:val="24"/>
          <w:lang w:val="en-GB"/>
        </w:rPr>
      </w:pPr>
      <w:r w:rsidRPr="00945DD4">
        <w:rPr>
          <w:rFonts w:ascii="Times New Roman" w:hAnsi="Times New Roman" w:cs="Times New Roman"/>
          <w:sz w:val="24"/>
          <w:szCs w:val="24"/>
          <w:lang w:val="en-GB"/>
        </w:rPr>
        <w:t>Romero-Corral</w:t>
      </w:r>
      <w:r>
        <w:rPr>
          <w:rFonts w:ascii="Times New Roman" w:hAnsi="Times New Roman" w:cs="Times New Roman"/>
          <w:sz w:val="24"/>
          <w:szCs w:val="24"/>
          <w:lang w:val="en-GB"/>
        </w:rPr>
        <w:t>,</w:t>
      </w:r>
      <w:r w:rsidRPr="00945DD4">
        <w:rPr>
          <w:rFonts w:ascii="Times New Roman" w:hAnsi="Times New Roman" w:cs="Times New Roman"/>
          <w:sz w:val="24"/>
          <w:szCs w:val="24"/>
          <w:lang w:val="en-GB"/>
        </w:rPr>
        <w:t xml:space="preserve"> A</w:t>
      </w:r>
      <w:r>
        <w:rPr>
          <w:rFonts w:ascii="Times New Roman" w:hAnsi="Times New Roman" w:cs="Times New Roman"/>
          <w:sz w:val="24"/>
          <w:szCs w:val="24"/>
          <w:lang w:val="en-GB"/>
        </w:rPr>
        <w:t>.</w:t>
      </w:r>
      <w:r w:rsidRPr="00945DD4">
        <w:rPr>
          <w:rFonts w:ascii="Times New Roman" w:hAnsi="Times New Roman" w:cs="Times New Roman"/>
          <w:sz w:val="24"/>
          <w:szCs w:val="24"/>
          <w:lang w:val="en-GB"/>
        </w:rPr>
        <w:t xml:space="preserve">, </w:t>
      </w:r>
      <w:proofErr w:type="spellStart"/>
      <w:r w:rsidRPr="00945DD4">
        <w:rPr>
          <w:rFonts w:ascii="Times New Roman" w:hAnsi="Times New Roman" w:cs="Times New Roman"/>
          <w:sz w:val="24"/>
          <w:szCs w:val="24"/>
          <w:lang w:val="en-GB"/>
        </w:rPr>
        <w:t>Montori</w:t>
      </w:r>
      <w:proofErr w:type="spellEnd"/>
      <w:r>
        <w:rPr>
          <w:rFonts w:ascii="Times New Roman" w:hAnsi="Times New Roman" w:cs="Times New Roman"/>
          <w:sz w:val="24"/>
          <w:szCs w:val="24"/>
          <w:lang w:val="en-GB"/>
        </w:rPr>
        <w:t>,</w:t>
      </w:r>
      <w:r w:rsidRPr="00945DD4">
        <w:rPr>
          <w:rFonts w:ascii="Times New Roman" w:hAnsi="Times New Roman" w:cs="Times New Roman"/>
          <w:sz w:val="24"/>
          <w:szCs w:val="24"/>
          <w:lang w:val="en-GB"/>
        </w:rPr>
        <w:t xml:space="preserve"> </w:t>
      </w:r>
      <w:r>
        <w:rPr>
          <w:rFonts w:ascii="Times New Roman" w:hAnsi="Times New Roman" w:cs="Times New Roman"/>
          <w:sz w:val="24"/>
          <w:szCs w:val="24"/>
          <w:lang w:val="en-GB"/>
        </w:rPr>
        <w:t>V.</w:t>
      </w:r>
      <w:r w:rsidR="0093494D">
        <w:rPr>
          <w:rFonts w:ascii="Times New Roman" w:hAnsi="Times New Roman" w:cs="Times New Roman"/>
          <w:sz w:val="24"/>
          <w:szCs w:val="24"/>
          <w:lang w:val="en-GB"/>
        </w:rPr>
        <w:t xml:space="preserve"> </w:t>
      </w:r>
      <w:r>
        <w:rPr>
          <w:rFonts w:ascii="Times New Roman" w:hAnsi="Times New Roman" w:cs="Times New Roman"/>
          <w:sz w:val="24"/>
          <w:szCs w:val="24"/>
          <w:lang w:val="en-GB"/>
        </w:rPr>
        <w:t>M., Somers, V.</w:t>
      </w:r>
      <w:r w:rsidR="0093494D">
        <w:rPr>
          <w:rFonts w:ascii="Times New Roman" w:hAnsi="Times New Roman" w:cs="Times New Roman"/>
          <w:sz w:val="24"/>
          <w:szCs w:val="24"/>
          <w:lang w:val="en-GB"/>
        </w:rPr>
        <w:t xml:space="preserve"> </w:t>
      </w:r>
      <w:r>
        <w:rPr>
          <w:rFonts w:ascii="Times New Roman" w:hAnsi="Times New Roman" w:cs="Times New Roman"/>
          <w:sz w:val="24"/>
          <w:szCs w:val="24"/>
          <w:lang w:val="en-GB"/>
        </w:rPr>
        <w:t>K.</w:t>
      </w:r>
      <w:r w:rsidRPr="00945DD4">
        <w:rPr>
          <w:rFonts w:ascii="Times New Roman" w:hAnsi="Times New Roman" w:cs="Times New Roman"/>
          <w:sz w:val="24"/>
          <w:szCs w:val="24"/>
          <w:lang w:val="en-GB"/>
        </w:rPr>
        <w:t xml:space="preserve">, </w:t>
      </w:r>
      <w:proofErr w:type="spellStart"/>
      <w:r w:rsidR="00F147EA">
        <w:rPr>
          <w:rFonts w:ascii="Times New Roman" w:hAnsi="Times New Roman" w:cs="Times New Roman"/>
          <w:sz w:val="24"/>
          <w:szCs w:val="24"/>
          <w:lang w:val="en-GB"/>
        </w:rPr>
        <w:t>Korinek</w:t>
      </w:r>
      <w:proofErr w:type="spellEnd"/>
      <w:r w:rsidR="00F147EA">
        <w:rPr>
          <w:rFonts w:ascii="Times New Roman" w:hAnsi="Times New Roman" w:cs="Times New Roman"/>
          <w:sz w:val="24"/>
          <w:szCs w:val="24"/>
          <w:lang w:val="en-GB"/>
        </w:rPr>
        <w:t>, J., Thomas, R.</w:t>
      </w:r>
      <w:r w:rsidR="0093494D">
        <w:rPr>
          <w:rFonts w:ascii="Times New Roman" w:hAnsi="Times New Roman" w:cs="Times New Roman"/>
          <w:sz w:val="24"/>
          <w:szCs w:val="24"/>
          <w:lang w:val="en-GB"/>
        </w:rPr>
        <w:t xml:space="preserve"> </w:t>
      </w:r>
      <w:r w:rsidR="00F147EA">
        <w:rPr>
          <w:rFonts w:ascii="Times New Roman" w:hAnsi="Times New Roman" w:cs="Times New Roman"/>
          <w:sz w:val="24"/>
          <w:szCs w:val="24"/>
          <w:lang w:val="en-GB"/>
        </w:rPr>
        <w:t>J., Allison, T.</w:t>
      </w:r>
      <w:r w:rsidR="0093494D">
        <w:rPr>
          <w:rFonts w:ascii="Times New Roman" w:hAnsi="Times New Roman" w:cs="Times New Roman"/>
          <w:sz w:val="24"/>
          <w:szCs w:val="24"/>
          <w:lang w:val="en-GB"/>
        </w:rPr>
        <w:t xml:space="preserve"> </w:t>
      </w:r>
      <w:r w:rsidR="00F147EA">
        <w:rPr>
          <w:rFonts w:ascii="Times New Roman" w:hAnsi="Times New Roman" w:cs="Times New Roman"/>
          <w:sz w:val="24"/>
          <w:szCs w:val="24"/>
          <w:lang w:val="en-GB"/>
        </w:rPr>
        <w:t>G.</w:t>
      </w:r>
      <w:r w:rsidR="0093494D">
        <w:rPr>
          <w:rFonts w:ascii="Times New Roman" w:hAnsi="Times New Roman" w:cs="Times New Roman"/>
          <w:sz w:val="24"/>
          <w:szCs w:val="24"/>
          <w:lang w:val="en-GB"/>
        </w:rPr>
        <w:t>,</w:t>
      </w:r>
      <w:r w:rsidR="00F147EA">
        <w:rPr>
          <w:rFonts w:ascii="Times New Roman" w:hAnsi="Times New Roman" w:cs="Times New Roman"/>
          <w:sz w:val="24"/>
          <w:szCs w:val="24"/>
          <w:lang w:val="en-GB"/>
        </w:rPr>
        <w:t xml:space="preserve"> … Lopez-Jimenez, F.</w:t>
      </w:r>
      <w:r w:rsidRPr="00945DD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(2006). </w:t>
      </w:r>
      <w:r w:rsidRPr="00945DD4">
        <w:rPr>
          <w:rFonts w:ascii="Times New Roman" w:hAnsi="Times New Roman" w:cs="Times New Roman"/>
          <w:sz w:val="24"/>
          <w:szCs w:val="24"/>
          <w:lang w:val="en-GB"/>
        </w:rPr>
        <w:t>Association of bodyweight with total</w:t>
      </w:r>
      <w:r>
        <w:rPr>
          <w:rFonts w:ascii="Times New Roman" w:hAnsi="Times New Roman" w:cs="Times New Roman"/>
          <w:sz w:val="24"/>
          <w:szCs w:val="24"/>
          <w:lang w:val="en-GB"/>
        </w:rPr>
        <w:t xml:space="preserve"> </w:t>
      </w:r>
      <w:r w:rsidRPr="00945DD4">
        <w:rPr>
          <w:rFonts w:ascii="Times New Roman" w:hAnsi="Times New Roman" w:cs="Times New Roman"/>
          <w:sz w:val="24"/>
          <w:szCs w:val="24"/>
          <w:lang w:val="en-GB"/>
        </w:rPr>
        <w:t xml:space="preserve">mortality and with cardiovascular events in coronary artery disease: </w:t>
      </w:r>
      <w:r w:rsidR="005161E9">
        <w:rPr>
          <w:rFonts w:ascii="Times New Roman" w:hAnsi="Times New Roman" w:cs="Times New Roman"/>
          <w:sz w:val="24"/>
          <w:szCs w:val="24"/>
          <w:lang w:val="en-GB"/>
        </w:rPr>
        <w:t>A</w:t>
      </w:r>
      <w:r w:rsidRPr="00945DD4">
        <w:rPr>
          <w:rFonts w:ascii="Times New Roman" w:hAnsi="Times New Roman" w:cs="Times New Roman"/>
          <w:sz w:val="24"/>
          <w:szCs w:val="24"/>
          <w:lang w:val="en-GB"/>
        </w:rPr>
        <w:t xml:space="preserve"> systematic r</w:t>
      </w:r>
      <w:r>
        <w:rPr>
          <w:rFonts w:ascii="Times New Roman" w:hAnsi="Times New Roman" w:cs="Times New Roman"/>
          <w:sz w:val="24"/>
          <w:szCs w:val="24"/>
          <w:lang w:val="en-GB"/>
        </w:rPr>
        <w:t xml:space="preserve">eview of cohort studies. </w:t>
      </w:r>
      <w:r w:rsidRPr="00A23AF4">
        <w:rPr>
          <w:rFonts w:ascii="Times New Roman" w:hAnsi="Times New Roman" w:cs="Times New Roman"/>
          <w:i/>
          <w:sz w:val="24"/>
          <w:szCs w:val="24"/>
          <w:lang w:val="en-GB"/>
        </w:rPr>
        <w:t>Lancet</w:t>
      </w:r>
      <w:r>
        <w:rPr>
          <w:rFonts w:ascii="Times New Roman" w:hAnsi="Times New Roman" w:cs="Times New Roman"/>
          <w:sz w:val="24"/>
          <w:szCs w:val="24"/>
          <w:lang w:val="en-GB"/>
        </w:rPr>
        <w:t>,</w:t>
      </w:r>
      <w:r w:rsidRPr="00C17E98">
        <w:rPr>
          <w:rFonts w:ascii="Times New Roman" w:hAnsi="Times New Roman" w:cs="Times New Roman"/>
          <w:i/>
          <w:sz w:val="24"/>
          <w:szCs w:val="24"/>
          <w:lang w:val="en-GB"/>
        </w:rPr>
        <w:t xml:space="preserve"> 368</w:t>
      </w:r>
      <w:r>
        <w:rPr>
          <w:rFonts w:ascii="Times New Roman" w:hAnsi="Times New Roman" w:cs="Times New Roman"/>
          <w:sz w:val="24"/>
          <w:szCs w:val="24"/>
          <w:lang w:val="en-GB"/>
        </w:rPr>
        <w:t>, 666-6</w:t>
      </w:r>
      <w:r w:rsidRPr="00945DD4">
        <w:rPr>
          <w:rFonts w:ascii="Times New Roman" w:hAnsi="Times New Roman" w:cs="Times New Roman"/>
          <w:sz w:val="24"/>
          <w:szCs w:val="24"/>
          <w:lang w:val="en-GB"/>
        </w:rPr>
        <w:t>78.</w:t>
      </w:r>
    </w:p>
    <w:p w:rsidR="00E16B33" w:rsidRPr="004A4CE6" w:rsidRDefault="00E21778" w:rsidP="00461457">
      <w:pPr>
        <w:shd w:val="clear" w:color="auto" w:fill="FFFFFF"/>
        <w:spacing w:after="0" w:line="360" w:lineRule="auto"/>
        <w:ind w:left="567" w:hanging="567"/>
        <w:rPr>
          <w:rFonts w:ascii="Times New Roman" w:eastAsia="Times New Roman" w:hAnsi="Times New Roman" w:cs="Times New Roman"/>
          <w:bCs/>
          <w:sz w:val="24"/>
          <w:szCs w:val="24"/>
        </w:rPr>
      </w:pPr>
      <w:hyperlink r:id="rId19" w:history="1">
        <w:proofErr w:type="spellStart"/>
        <w:r w:rsidR="004A4CE6" w:rsidRPr="00ED7F69">
          <w:rPr>
            <w:rFonts w:ascii="Times New Roman" w:eastAsia="Times New Roman" w:hAnsi="Times New Roman" w:cs="Times New Roman"/>
            <w:bCs/>
            <w:sz w:val="24"/>
            <w:szCs w:val="24"/>
          </w:rPr>
          <w:t>Rosner</w:t>
        </w:r>
        <w:proofErr w:type="spellEnd"/>
        <w:r w:rsidR="004A4CE6" w:rsidRPr="00ED7F69">
          <w:rPr>
            <w:rFonts w:ascii="Times New Roman" w:eastAsia="Times New Roman" w:hAnsi="Times New Roman" w:cs="Times New Roman"/>
            <w:bCs/>
            <w:sz w:val="24"/>
            <w:szCs w:val="24"/>
          </w:rPr>
          <w:t xml:space="preserve"> </w:t>
        </w:r>
        <w:proofErr w:type="spellStart"/>
        <w:r w:rsidR="004A4CE6" w:rsidRPr="00ED7F69">
          <w:rPr>
            <w:rFonts w:ascii="Times New Roman" w:eastAsia="Times New Roman" w:hAnsi="Times New Roman" w:cs="Times New Roman"/>
            <w:bCs/>
            <w:sz w:val="24"/>
            <w:szCs w:val="24"/>
          </w:rPr>
          <w:t>Preis</w:t>
        </w:r>
        <w:proofErr w:type="spellEnd"/>
      </w:hyperlink>
      <w:r w:rsidR="004A4CE6" w:rsidRPr="00ED7F69">
        <w:rPr>
          <w:rFonts w:ascii="Times New Roman" w:eastAsia="Times New Roman" w:hAnsi="Times New Roman" w:cs="Times New Roman"/>
          <w:bCs/>
          <w:sz w:val="24"/>
          <w:szCs w:val="24"/>
        </w:rPr>
        <w:t xml:space="preserve">, S., </w:t>
      </w:r>
      <w:hyperlink r:id="rId20" w:history="1">
        <w:r w:rsidR="004A4CE6" w:rsidRPr="00ED7F69">
          <w:rPr>
            <w:rFonts w:ascii="Times New Roman" w:eastAsia="Times New Roman" w:hAnsi="Times New Roman" w:cs="Times New Roman"/>
            <w:bCs/>
            <w:sz w:val="24"/>
            <w:szCs w:val="24"/>
          </w:rPr>
          <w:t>Hwang</w:t>
        </w:r>
      </w:hyperlink>
      <w:r w:rsidR="004A4CE6" w:rsidRPr="00ED7F69">
        <w:rPr>
          <w:rFonts w:ascii="Times New Roman" w:eastAsia="Times New Roman" w:hAnsi="Times New Roman" w:cs="Times New Roman"/>
          <w:bCs/>
          <w:sz w:val="24"/>
          <w:szCs w:val="24"/>
        </w:rPr>
        <w:t xml:space="preserve">, S-J., </w:t>
      </w:r>
      <w:hyperlink r:id="rId21" w:history="1">
        <w:proofErr w:type="spellStart"/>
        <w:r w:rsidR="004A4CE6" w:rsidRPr="00ED7F69">
          <w:rPr>
            <w:rFonts w:ascii="Times New Roman" w:eastAsia="Times New Roman" w:hAnsi="Times New Roman" w:cs="Times New Roman"/>
            <w:bCs/>
            <w:sz w:val="24"/>
            <w:szCs w:val="24"/>
          </w:rPr>
          <w:t>Coady</w:t>
        </w:r>
        <w:proofErr w:type="spellEnd"/>
      </w:hyperlink>
      <w:r w:rsidR="004A4CE6" w:rsidRPr="00ED7F69">
        <w:rPr>
          <w:rFonts w:ascii="Times New Roman" w:eastAsia="Times New Roman" w:hAnsi="Times New Roman" w:cs="Times New Roman"/>
          <w:bCs/>
          <w:sz w:val="24"/>
          <w:szCs w:val="24"/>
        </w:rPr>
        <w:t xml:space="preserve">, S., </w:t>
      </w:r>
      <w:hyperlink r:id="rId22" w:history="1">
        <w:proofErr w:type="spellStart"/>
        <w:r w:rsidR="004A4CE6" w:rsidRPr="00ED7F69">
          <w:rPr>
            <w:rFonts w:ascii="Times New Roman" w:eastAsia="Times New Roman" w:hAnsi="Times New Roman" w:cs="Times New Roman"/>
            <w:bCs/>
            <w:sz w:val="24"/>
            <w:szCs w:val="24"/>
          </w:rPr>
          <w:t>Pencina</w:t>
        </w:r>
        <w:proofErr w:type="spellEnd"/>
      </w:hyperlink>
      <w:r w:rsidR="004A4CE6" w:rsidRPr="00ED7F69">
        <w:rPr>
          <w:rFonts w:ascii="Times New Roman" w:eastAsia="Times New Roman" w:hAnsi="Times New Roman" w:cs="Times New Roman"/>
          <w:bCs/>
          <w:sz w:val="24"/>
          <w:szCs w:val="24"/>
        </w:rPr>
        <w:t>, M.</w:t>
      </w:r>
      <w:r w:rsidR="0093494D">
        <w:rPr>
          <w:rFonts w:ascii="Times New Roman" w:eastAsia="Times New Roman" w:hAnsi="Times New Roman" w:cs="Times New Roman"/>
          <w:bCs/>
          <w:sz w:val="24"/>
          <w:szCs w:val="24"/>
        </w:rPr>
        <w:t xml:space="preserve"> </w:t>
      </w:r>
      <w:r w:rsidR="004A4CE6" w:rsidRPr="00ED7F69">
        <w:rPr>
          <w:rFonts w:ascii="Times New Roman" w:eastAsia="Times New Roman" w:hAnsi="Times New Roman" w:cs="Times New Roman"/>
          <w:bCs/>
          <w:sz w:val="24"/>
          <w:szCs w:val="24"/>
        </w:rPr>
        <w:t xml:space="preserve">J., </w:t>
      </w:r>
      <w:hyperlink r:id="rId23" w:history="1">
        <w:proofErr w:type="spellStart"/>
        <w:r w:rsidR="004A4CE6">
          <w:rPr>
            <w:rFonts w:ascii="Times New Roman" w:eastAsia="Times New Roman" w:hAnsi="Times New Roman" w:cs="Times New Roman"/>
            <w:bCs/>
            <w:sz w:val="24"/>
            <w:szCs w:val="24"/>
          </w:rPr>
          <w:t>D’</w:t>
        </w:r>
        <w:r w:rsidR="004A4CE6" w:rsidRPr="00ED7F69">
          <w:rPr>
            <w:rFonts w:ascii="Times New Roman" w:eastAsia="Times New Roman" w:hAnsi="Times New Roman" w:cs="Times New Roman"/>
            <w:bCs/>
            <w:sz w:val="24"/>
            <w:szCs w:val="24"/>
          </w:rPr>
          <w:t>Agostino</w:t>
        </w:r>
        <w:proofErr w:type="spellEnd"/>
        <w:r w:rsidR="004A4CE6" w:rsidRPr="00ED7F69">
          <w:rPr>
            <w:rFonts w:ascii="Times New Roman" w:eastAsia="Times New Roman" w:hAnsi="Times New Roman" w:cs="Times New Roman"/>
            <w:bCs/>
            <w:sz w:val="24"/>
            <w:szCs w:val="24"/>
          </w:rPr>
          <w:t xml:space="preserve"> </w:t>
        </w:r>
        <w:proofErr w:type="spellStart"/>
        <w:r w:rsidR="004A4CE6" w:rsidRPr="00ED7F69">
          <w:rPr>
            <w:rFonts w:ascii="Times New Roman" w:eastAsia="Times New Roman" w:hAnsi="Times New Roman" w:cs="Times New Roman"/>
            <w:bCs/>
            <w:sz w:val="24"/>
            <w:szCs w:val="24"/>
          </w:rPr>
          <w:t>Sr</w:t>
        </w:r>
        <w:proofErr w:type="spellEnd"/>
      </w:hyperlink>
      <w:r w:rsidR="004A4CE6" w:rsidRPr="00ED7F69">
        <w:rPr>
          <w:rFonts w:ascii="Times New Roman" w:eastAsia="Times New Roman" w:hAnsi="Times New Roman" w:cs="Times New Roman"/>
          <w:bCs/>
          <w:sz w:val="24"/>
          <w:szCs w:val="24"/>
        </w:rPr>
        <w:t>, R.</w:t>
      </w:r>
      <w:r w:rsidR="0093494D">
        <w:rPr>
          <w:rFonts w:ascii="Times New Roman" w:eastAsia="Times New Roman" w:hAnsi="Times New Roman" w:cs="Times New Roman"/>
          <w:bCs/>
          <w:sz w:val="24"/>
          <w:szCs w:val="24"/>
        </w:rPr>
        <w:t xml:space="preserve"> </w:t>
      </w:r>
      <w:r w:rsidR="004A4CE6" w:rsidRPr="00ED7F69">
        <w:rPr>
          <w:rFonts w:ascii="Times New Roman" w:eastAsia="Times New Roman" w:hAnsi="Times New Roman" w:cs="Times New Roman"/>
          <w:bCs/>
          <w:sz w:val="24"/>
          <w:szCs w:val="24"/>
        </w:rPr>
        <w:t xml:space="preserve">B., </w:t>
      </w:r>
      <w:hyperlink r:id="rId24" w:history="1">
        <w:r w:rsidR="004A4CE6" w:rsidRPr="00ED7F69">
          <w:rPr>
            <w:rFonts w:ascii="Times New Roman" w:eastAsia="Times New Roman" w:hAnsi="Times New Roman" w:cs="Times New Roman"/>
            <w:bCs/>
            <w:sz w:val="24"/>
            <w:szCs w:val="24"/>
          </w:rPr>
          <w:t>Savage</w:t>
        </w:r>
      </w:hyperlink>
      <w:r w:rsidR="004A4CE6" w:rsidRPr="00ED7F69">
        <w:rPr>
          <w:rFonts w:ascii="Times New Roman" w:eastAsia="Times New Roman" w:hAnsi="Times New Roman" w:cs="Times New Roman"/>
          <w:bCs/>
          <w:sz w:val="24"/>
          <w:szCs w:val="24"/>
        </w:rPr>
        <w:t>, P.</w:t>
      </w:r>
      <w:r w:rsidR="0093494D">
        <w:rPr>
          <w:rFonts w:ascii="Times New Roman" w:eastAsia="Times New Roman" w:hAnsi="Times New Roman" w:cs="Times New Roman"/>
          <w:bCs/>
          <w:sz w:val="24"/>
          <w:szCs w:val="24"/>
        </w:rPr>
        <w:t xml:space="preserve"> </w:t>
      </w:r>
      <w:r w:rsidR="004A4CE6" w:rsidRPr="00ED7F69">
        <w:rPr>
          <w:rFonts w:ascii="Times New Roman" w:eastAsia="Times New Roman" w:hAnsi="Times New Roman" w:cs="Times New Roman"/>
          <w:bCs/>
          <w:sz w:val="24"/>
          <w:szCs w:val="24"/>
        </w:rPr>
        <w:t xml:space="preserve">J., </w:t>
      </w:r>
      <w:r w:rsidR="004A4CE6">
        <w:rPr>
          <w:rFonts w:ascii="Times New Roman" w:eastAsia="Times New Roman" w:hAnsi="Times New Roman" w:cs="Times New Roman"/>
          <w:bCs/>
          <w:sz w:val="24"/>
          <w:szCs w:val="24"/>
        </w:rPr>
        <w:t xml:space="preserve">… </w:t>
      </w:r>
      <w:r w:rsidR="004A4CE6" w:rsidRPr="00ED7F69">
        <w:rPr>
          <w:rFonts w:ascii="Times New Roman" w:eastAsia="Times New Roman" w:hAnsi="Times New Roman" w:cs="Times New Roman"/>
          <w:bCs/>
          <w:sz w:val="24"/>
          <w:szCs w:val="24"/>
        </w:rPr>
        <w:t>Fox, C.</w:t>
      </w:r>
      <w:r w:rsidR="0093494D">
        <w:rPr>
          <w:rFonts w:ascii="Times New Roman" w:eastAsia="Times New Roman" w:hAnsi="Times New Roman" w:cs="Times New Roman"/>
          <w:bCs/>
          <w:sz w:val="24"/>
          <w:szCs w:val="24"/>
        </w:rPr>
        <w:t xml:space="preserve"> </w:t>
      </w:r>
      <w:r w:rsidR="004A4CE6" w:rsidRPr="00ED7F69">
        <w:rPr>
          <w:rFonts w:ascii="Times New Roman" w:eastAsia="Times New Roman" w:hAnsi="Times New Roman" w:cs="Times New Roman"/>
          <w:bCs/>
          <w:sz w:val="24"/>
          <w:szCs w:val="24"/>
        </w:rPr>
        <w:t>S.</w:t>
      </w:r>
      <w:r w:rsidR="00E16B33">
        <w:rPr>
          <w:rFonts w:ascii="Times New Roman" w:hAnsi="Times New Roman" w:cs="Times New Roman"/>
          <w:bCs/>
          <w:sz w:val="24"/>
          <w:szCs w:val="24"/>
        </w:rPr>
        <w:t xml:space="preserve"> (2009).</w:t>
      </w:r>
      <w:r w:rsidR="00E16B33" w:rsidRPr="001601F0">
        <w:rPr>
          <w:rFonts w:ascii="Times New Roman" w:hAnsi="Times New Roman" w:cs="Times New Roman"/>
          <w:bCs/>
          <w:sz w:val="24"/>
          <w:szCs w:val="24"/>
        </w:rPr>
        <w:t xml:space="preserve">Trends in all-cause and cardiovascular disease mortality among women and men with and without diabetes mellitus in the Framingham Heart Study, 1950 to 2005. </w:t>
      </w:r>
      <w:r w:rsidR="00E16B33" w:rsidRPr="001601F0">
        <w:rPr>
          <w:rFonts w:ascii="Times New Roman" w:hAnsi="Times New Roman" w:cs="Times New Roman"/>
          <w:bCs/>
          <w:i/>
          <w:sz w:val="24"/>
          <w:szCs w:val="24"/>
        </w:rPr>
        <w:t>Circulatio</w:t>
      </w:r>
      <w:r w:rsidR="00E16B33">
        <w:rPr>
          <w:rFonts w:ascii="Times New Roman" w:hAnsi="Times New Roman" w:cs="Times New Roman"/>
          <w:bCs/>
          <w:i/>
          <w:sz w:val="24"/>
          <w:szCs w:val="24"/>
        </w:rPr>
        <w:t>n,</w:t>
      </w:r>
      <w:r w:rsidR="00E16B33" w:rsidRPr="00C17E98">
        <w:rPr>
          <w:rFonts w:ascii="Times New Roman" w:hAnsi="Times New Roman" w:cs="Times New Roman"/>
          <w:bCs/>
          <w:i/>
          <w:sz w:val="24"/>
          <w:szCs w:val="24"/>
        </w:rPr>
        <w:t xml:space="preserve"> 119</w:t>
      </w:r>
      <w:r w:rsidR="00E16B33">
        <w:rPr>
          <w:rFonts w:ascii="Times New Roman" w:hAnsi="Times New Roman" w:cs="Times New Roman"/>
          <w:bCs/>
          <w:sz w:val="24"/>
          <w:szCs w:val="24"/>
        </w:rPr>
        <w:t>, 1728-17</w:t>
      </w:r>
      <w:r w:rsidR="00E16B33" w:rsidRPr="001601F0">
        <w:rPr>
          <w:rFonts w:ascii="Times New Roman" w:hAnsi="Times New Roman" w:cs="Times New Roman"/>
          <w:bCs/>
          <w:sz w:val="24"/>
          <w:szCs w:val="24"/>
        </w:rPr>
        <w:t>35.</w:t>
      </w:r>
    </w:p>
    <w:p w:rsidR="00E16B33" w:rsidRDefault="00E16B33" w:rsidP="00461457">
      <w:pPr>
        <w:spacing w:after="0" w:line="360" w:lineRule="auto"/>
        <w:ind w:left="567" w:hanging="567"/>
        <w:rPr>
          <w:rFonts w:ascii="Times New Roman" w:hAnsi="Times New Roman" w:cs="Times New Roman"/>
          <w:sz w:val="24"/>
          <w:szCs w:val="24"/>
        </w:rPr>
      </w:pPr>
      <w:r w:rsidRPr="001F374B">
        <w:rPr>
          <w:rFonts w:ascii="Times New Roman" w:hAnsi="Times New Roman" w:cs="Times New Roman"/>
          <w:sz w:val="24"/>
          <w:szCs w:val="24"/>
          <w:lang w:val="en-US"/>
        </w:rPr>
        <w:t>S</w:t>
      </w:r>
      <w:r>
        <w:rPr>
          <w:rFonts w:ascii="Times New Roman" w:hAnsi="Times New Roman" w:cs="Times New Roman"/>
          <w:sz w:val="24"/>
          <w:szCs w:val="24"/>
          <w:lang w:val="en-US"/>
        </w:rPr>
        <w:t>acker, A., Head, J., &amp; Barley, M</w:t>
      </w:r>
      <w:r w:rsidRPr="001F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w:t>
      </w:r>
      <w:r w:rsidRPr="001F374B">
        <w:rPr>
          <w:rFonts w:ascii="Times New Roman" w:hAnsi="Times New Roman" w:cs="Times New Roman"/>
          <w:sz w:val="24"/>
          <w:szCs w:val="24"/>
          <w:lang w:val="en-US"/>
        </w:rPr>
        <w:t xml:space="preserve">Impact of coronary heart disease on health functioning in an ageing population: </w:t>
      </w:r>
      <w:r w:rsidR="005161E9">
        <w:rPr>
          <w:rFonts w:ascii="Times New Roman" w:hAnsi="Times New Roman" w:cs="Times New Roman"/>
          <w:sz w:val="24"/>
          <w:szCs w:val="24"/>
          <w:lang w:val="en-US"/>
        </w:rPr>
        <w:t>A</w:t>
      </w:r>
      <w:r w:rsidRPr="001F374B">
        <w:rPr>
          <w:rFonts w:ascii="Times New Roman" w:hAnsi="Times New Roman" w:cs="Times New Roman"/>
          <w:sz w:val="24"/>
          <w:szCs w:val="24"/>
          <w:lang w:val="en-US"/>
        </w:rPr>
        <w:t xml:space="preserve">re there differences according to socio-economic position? </w:t>
      </w:r>
      <w:r>
        <w:rPr>
          <w:rFonts w:ascii="Times New Roman" w:hAnsi="Times New Roman" w:cs="Times New Roman"/>
          <w:i/>
          <w:sz w:val="24"/>
          <w:szCs w:val="24"/>
          <w:lang w:val="en-US"/>
        </w:rPr>
        <w:t>Psychosomatic Medicine,</w:t>
      </w:r>
      <w:r w:rsidRPr="00FF1589">
        <w:rPr>
          <w:rFonts w:ascii="Times New Roman" w:hAnsi="Times New Roman" w:cs="Times New Roman"/>
          <w:i/>
          <w:sz w:val="24"/>
          <w:szCs w:val="24"/>
          <w:lang w:val="en-US"/>
        </w:rPr>
        <w:t xml:space="preserve"> 70</w:t>
      </w:r>
      <w:r>
        <w:rPr>
          <w:rFonts w:ascii="Times New Roman" w:hAnsi="Times New Roman" w:cs="Times New Roman"/>
          <w:sz w:val="24"/>
          <w:szCs w:val="24"/>
          <w:lang w:val="en-US"/>
        </w:rPr>
        <w:t>, 133-1</w:t>
      </w:r>
      <w:r w:rsidRPr="001F374B">
        <w:rPr>
          <w:rFonts w:ascii="Times New Roman" w:hAnsi="Times New Roman" w:cs="Times New Roman"/>
          <w:sz w:val="24"/>
          <w:szCs w:val="24"/>
          <w:lang w:val="en-US"/>
        </w:rPr>
        <w:t>40.</w:t>
      </w:r>
    </w:p>
    <w:p w:rsidR="00E16B33" w:rsidRPr="00367400" w:rsidRDefault="00E16B33" w:rsidP="00461457">
      <w:pPr>
        <w:autoSpaceDE w:val="0"/>
        <w:autoSpaceDN w:val="0"/>
        <w:adjustRightInd w:val="0"/>
        <w:spacing w:after="0" w:line="360" w:lineRule="auto"/>
        <w:rPr>
          <w:rFonts w:ascii="Times New Roman" w:hAnsi="Times New Roman" w:cs="Times New Roman"/>
          <w:color w:val="231F20"/>
          <w:sz w:val="24"/>
          <w:szCs w:val="24"/>
        </w:rPr>
      </w:pPr>
      <w:proofErr w:type="spellStart"/>
      <w:r>
        <w:rPr>
          <w:rFonts w:ascii="Times New Roman" w:hAnsi="Times New Roman" w:cs="Times New Roman"/>
          <w:sz w:val="24"/>
          <w:szCs w:val="24"/>
          <w:lang w:val="en-US"/>
        </w:rPr>
        <w:t>StataCorp</w:t>
      </w:r>
      <w:proofErr w:type="spellEnd"/>
      <w:r w:rsidRPr="00D679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r w:rsidRPr="00D67915">
        <w:rPr>
          <w:rFonts w:ascii="Times New Roman" w:hAnsi="Times New Roman" w:cs="Times New Roman"/>
          <w:i/>
          <w:sz w:val="24"/>
          <w:szCs w:val="24"/>
          <w:lang w:val="en-US"/>
        </w:rPr>
        <w:t>Stata Statistical Software: Release 12</w:t>
      </w:r>
      <w:r w:rsidRPr="00D67915">
        <w:rPr>
          <w:rFonts w:ascii="Times New Roman" w:hAnsi="Times New Roman" w:cs="Times New Roman"/>
          <w:sz w:val="24"/>
          <w:szCs w:val="24"/>
          <w:lang w:val="en-US"/>
        </w:rPr>
        <w:t xml:space="preserve">. College Station, TX: </w:t>
      </w:r>
      <w:proofErr w:type="spellStart"/>
      <w:r w:rsidRPr="00D67915">
        <w:rPr>
          <w:rFonts w:ascii="Times New Roman" w:hAnsi="Times New Roman" w:cs="Times New Roman"/>
          <w:sz w:val="24"/>
          <w:szCs w:val="24"/>
          <w:lang w:val="en-US"/>
        </w:rPr>
        <w:t>StataCorp</w:t>
      </w:r>
      <w:proofErr w:type="spellEnd"/>
      <w:r w:rsidRPr="00D67915">
        <w:rPr>
          <w:rFonts w:ascii="Times New Roman" w:hAnsi="Times New Roman" w:cs="Times New Roman"/>
          <w:sz w:val="24"/>
          <w:szCs w:val="24"/>
          <w:lang w:val="en-US"/>
        </w:rPr>
        <w:t xml:space="preserve"> LP.</w:t>
      </w:r>
    </w:p>
    <w:p w:rsidR="003D549D" w:rsidRPr="0084036C" w:rsidRDefault="003D549D" w:rsidP="00461457">
      <w:pPr>
        <w:spacing w:after="0" w:line="360" w:lineRule="auto"/>
        <w:ind w:left="567" w:hanging="567"/>
        <w:rPr>
          <w:rFonts w:ascii="Times New Roman" w:hAnsi="Times New Roman" w:cs="Times New Roman"/>
          <w:sz w:val="24"/>
          <w:szCs w:val="24"/>
        </w:rPr>
      </w:pPr>
      <w:r w:rsidRPr="0084036C">
        <w:rPr>
          <w:rFonts w:ascii="Times New Roman" w:hAnsi="Times New Roman" w:cs="Times New Roman"/>
          <w:sz w:val="24"/>
          <w:szCs w:val="24"/>
        </w:rPr>
        <w:t>Ward</w:t>
      </w:r>
      <w:r>
        <w:rPr>
          <w:rFonts w:ascii="Times New Roman" w:hAnsi="Times New Roman" w:cs="Times New Roman"/>
          <w:sz w:val="24"/>
          <w:szCs w:val="24"/>
        </w:rPr>
        <w:t>,</w:t>
      </w:r>
      <w:r w:rsidRPr="0084036C">
        <w:rPr>
          <w:rFonts w:ascii="Times New Roman" w:hAnsi="Times New Roman" w:cs="Times New Roman"/>
          <w:sz w:val="24"/>
          <w:szCs w:val="24"/>
        </w:rPr>
        <w:t xml:space="preserve"> M</w:t>
      </w:r>
      <w:r>
        <w:rPr>
          <w:rFonts w:ascii="Times New Roman" w:hAnsi="Times New Roman" w:cs="Times New Roman"/>
          <w:sz w:val="24"/>
          <w:szCs w:val="24"/>
        </w:rPr>
        <w:t>.</w:t>
      </w:r>
      <w:r w:rsidRPr="0084036C">
        <w:rPr>
          <w:rFonts w:ascii="Times New Roman" w:hAnsi="Times New Roman" w:cs="Times New Roman"/>
          <w:sz w:val="24"/>
          <w:szCs w:val="24"/>
        </w:rPr>
        <w:t>, McGee</w:t>
      </w:r>
      <w:r>
        <w:rPr>
          <w:rFonts w:ascii="Times New Roman" w:hAnsi="Times New Roman" w:cs="Times New Roman"/>
          <w:sz w:val="24"/>
          <w:szCs w:val="24"/>
        </w:rPr>
        <w:t>,</w:t>
      </w:r>
      <w:r w:rsidRPr="0084036C">
        <w:rPr>
          <w:rFonts w:ascii="Times New Roman" w:hAnsi="Times New Roman" w:cs="Times New Roman"/>
          <w:sz w:val="24"/>
          <w:szCs w:val="24"/>
        </w:rPr>
        <w:t xml:space="preserve"> H</w:t>
      </w:r>
      <w:r>
        <w:rPr>
          <w:rFonts w:ascii="Times New Roman" w:hAnsi="Times New Roman" w:cs="Times New Roman"/>
          <w:sz w:val="24"/>
          <w:szCs w:val="24"/>
        </w:rPr>
        <w:t>.</w:t>
      </w:r>
      <w:r w:rsidRPr="0084036C">
        <w:rPr>
          <w:rFonts w:ascii="Times New Roman" w:hAnsi="Times New Roman" w:cs="Times New Roman"/>
          <w:sz w:val="24"/>
          <w:szCs w:val="24"/>
        </w:rPr>
        <w:t>, Morgan</w:t>
      </w:r>
      <w:r>
        <w:rPr>
          <w:rFonts w:ascii="Times New Roman" w:hAnsi="Times New Roman" w:cs="Times New Roman"/>
          <w:sz w:val="24"/>
          <w:szCs w:val="24"/>
        </w:rPr>
        <w:t>,</w:t>
      </w:r>
      <w:r w:rsidRPr="0084036C">
        <w:rPr>
          <w:rFonts w:ascii="Times New Roman" w:hAnsi="Times New Roman" w:cs="Times New Roman"/>
          <w:sz w:val="24"/>
          <w:szCs w:val="24"/>
        </w:rPr>
        <w:t xml:space="preserve"> K</w:t>
      </w:r>
      <w:r>
        <w:rPr>
          <w:rFonts w:ascii="Times New Roman" w:hAnsi="Times New Roman" w:cs="Times New Roman"/>
          <w:sz w:val="24"/>
          <w:szCs w:val="24"/>
        </w:rPr>
        <w:t>.</w:t>
      </w:r>
      <w:r w:rsidRPr="0084036C">
        <w:rPr>
          <w:rFonts w:ascii="Times New Roman" w:hAnsi="Times New Roman" w:cs="Times New Roman"/>
          <w:sz w:val="24"/>
          <w:szCs w:val="24"/>
        </w:rPr>
        <w:t xml:space="preserve">, et al. </w:t>
      </w:r>
      <w:r>
        <w:rPr>
          <w:rFonts w:ascii="Times New Roman" w:hAnsi="Times New Roman" w:cs="Times New Roman"/>
          <w:sz w:val="24"/>
          <w:szCs w:val="24"/>
        </w:rPr>
        <w:t xml:space="preserve">(2009). </w:t>
      </w:r>
      <w:r w:rsidRPr="003D549D">
        <w:rPr>
          <w:rFonts w:ascii="Times New Roman" w:hAnsi="Times New Roman" w:cs="Times New Roman"/>
          <w:i/>
          <w:sz w:val="24"/>
          <w:szCs w:val="24"/>
        </w:rPr>
        <w:t>SLÁN 2007: Survey of Lifestyle, Attitudes and Nutrition in Ireland. ‘One Island-One Lifestyle?’ Health and lifestyles in the Republic of Ireland and Northern Ireland: Comparing the population surveys SLÁN 2007 and NIHSWS 2005</w:t>
      </w:r>
      <w:r>
        <w:rPr>
          <w:rFonts w:ascii="Times New Roman" w:hAnsi="Times New Roman" w:cs="Times New Roman"/>
          <w:sz w:val="24"/>
          <w:szCs w:val="24"/>
        </w:rPr>
        <w:t xml:space="preserve">. </w:t>
      </w:r>
      <w:r w:rsidRPr="0084036C">
        <w:rPr>
          <w:rFonts w:ascii="Times New Roman" w:hAnsi="Times New Roman" w:cs="Times New Roman"/>
          <w:sz w:val="24"/>
          <w:szCs w:val="24"/>
        </w:rPr>
        <w:t>Department of Health and Children, Dublin.</w:t>
      </w:r>
    </w:p>
    <w:p w:rsidR="00E16B33" w:rsidRDefault="00E16B33"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Whelan, B.</w:t>
      </w:r>
      <w:r w:rsidR="0093494D">
        <w:rPr>
          <w:rFonts w:ascii="Times New Roman" w:hAnsi="Times New Roman" w:cs="Times New Roman"/>
          <w:sz w:val="24"/>
          <w:szCs w:val="24"/>
        </w:rPr>
        <w:t xml:space="preserve"> </w:t>
      </w:r>
      <w:r>
        <w:rPr>
          <w:rFonts w:ascii="Times New Roman" w:hAnsi="Times New Roman" w:cs="Times New Roman"/>
          <w:sz w:val="24"/>
          <w:szCs w:val="24"/>
        </w:rPr>
        <w:t>J., &amp; Savva, G.</w:t>
      </w:r>
      <w:r w:rsidR="0093494D">
        <w:rPr>
          <w:rFonts w:ascii="Times New Roman" w:hAnsi="Times New Roman" w:cs="Times New Roman"/>
          <w:sz w:val="24"/>
          <w:szCs w:val="24"/>
        </w:rPr>
        <w:t xml:space="preserve"> </w:t>
      </w:r>
      <w:r>
        <w:rPr>
          <w:rFonts w:ascii="Times New Roman" w:hAnsi="Times New Roman" w:cs="Times New Roman"/>
          <w:sz w:val="24"/>
          <w:szCs w:val="24"/>
        </w:rPr>
        <w:t>M. (2013). Design and m</w:t>
      </w:r>
      <w:r w:rsidRPr="00272DD1">
        <w:rPr>
          <w:rFonts w:ascii="Times New Roman" w:hAnsi="Times New Roman" w:cs="Times New Roman"/>
          <w:sz w:val="24"/>
          <w:szCs w:val="24"/>
        </w:rPr>
        <w:t>ethodology of The Irish Longitudinal Study on Ageing</w:t>
      </w:r>
      <w:r>
        <w:rPr>
          <w:rFonts w:ascii="Times New Roman" w:hAnsi="Times New Roman" w:cs="Times New Roman"/>
          <w:sz w:val="24"/>
          <w:szCs w:val="24"/>
        </w:rPr>
        <w:t xml:space="preserve">. </w:t>
      </w:r>
      <w:r>
        <w:rPr>
          <w:rFonts w:ascii="Times New Roman" w:hAnsi="Times New Roman" w:cs="Times New Roman"/>
          <w:i/>
          <w:sz w:val="24"/>
          <w:szCs w:val="24"/>
        </w:rPr>
        <w:t>Journal of the American Geriatrics Society,</w:t>
      </w:r>
      <w:r w:rsidRPr="0096080B">
        <w:rPr>
          <w:rFonts w:ascii="Times New Roman" w:hAnsi="Times New Roman" w:cs="Times New Roman"/>
          <w:i/>
          <w:sz w:val="24"/>
          <w:szCs w:val="24"/>
        </w:rPr>
        <w:t xml:space="preserve"> 61</w:t>
      </w:r>
      <w:r>
        <w:rPr>
          <w:rFonts w:ascii="Times New Roman" w:hAnsi="Times New Roman" w:cs="Times New Roman"/>
          <w:sz w:val="24"/>
          <w:szCs w:val="24"/>
        </w:rPr>
        <w:t>, S265-268.</w:t>
      </w:r>
    </w:p>
    <w:p w:rsidR="00E16B33" w:rsidRPr="00E967E7" w:rsidRDefault="00E16B33" w:rsidP="00461457">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Wilkinson, R., &amp; </w:t>
      </w:r>
      <w:r w:rsidRPr="00922329">
        <w:rPr>
          <w:rFonts w:ascii="Times New Roman" w:hAnsi="Times New Roman" w:cs="Times New Roman"/>
          <w:sz w:val="24"/>
          <w:szCs w:val="24"/>
          <w:lang w:val="en-US"/>
        </w:rPr>
        <w:t>Marmot</w:t>
      </w:r>
      <w:r>
        <w:rPr>
          <w:rFonts w:ascii="Times New Roman" w:hAnsi="Times New Roman" w:cs="Times New Roman"/>
          <w:sz w:val="24"/>
          <w:szCs w:val="24"/>
          <w:lang w:val="en-US"/>
        </w:rPr>
        <w:t xml:space="preserve">, M. (2003). </w:t>
      </w:r>
      <w:r>
        <w:rPr>
          <w:rFonts w:ascii="Times New Roman" w:hAnsi="Times New Roman" w:cs="Times New Roman"/>
          <w:i/>
          <w:sz w:val="24"/>
          <w:szCs w:val="24"/>
          <w:lang w:val="en-US"/>
        </w:rPr>
        <w:t xml:space="preserve">The solid facts: </w:t>
      </w:r>
      <w:r w:rsidR="005161E9">
        <w:rPr>
          <w:rFonts w:ascii="Times New Roman" w:hAnsi="Times New Roman" w:cs="Times New Roman"/>
          <w:i/>
          <w:sz w:val="24"/>
          <w:szCs w:val="24"/>
          <w:lang w:val="en-US"/>
        </w:rPr>
        <w:t>S</w:t>
      </w:r>
      <w:r w:rsidRPr="00FD6027">
        <w:rPr>
          <w:rFonts w:ascii="Times New Roman" w:hAnsi="Times New Roman" w:cs="Times New Roman"/>
          <w:i/>
          <w:sz w:val="24"/>
          <w:szCs w:val="24"/>
          <w:lang w:val="en-US"/>
        </w:rPr>
        <w:t>ocial determinants of health (2</w:t>
      </w:r>
      <w:r w:rsidRPr="00FD6027">
        <w:rPr>
          <w:rFonts w:ascii="Times New Roman" w:hAnsi="Times New Roman" w:cs="Times New Roman"/>
          <w:i/>
          <w:sz w:val="24"/>
          <w:szCs w:val="24"/>
          <w:vertAlign w:val="superscript"/>
          <w:lang w:val="en-US"/>
        </w:rPr>
        <w:t>nd</w:t>
      </w:r>
      <w:r w:rsidRPr="00FD6027">
        <w:rPr>
          <w:rFonts w:ascii="Times New Roman" w:hAnsi="Times New Roman" w:cs="Times New Roman"/>
          <w:i/>
          <w:sz w:val="24"/>
          <w:szCs w:val="24"/>
          <w:lang w:val="en-US"/>
        </w:rPr>
        <w:t xml:space="preserve"> </w:t>
      </w:r>
      <w:proofErr w:type="spellStart"/>
      <w:r w:rsidRPr="00FD6027">
        <w:rPr>
          <w:rFonts w:ascii="Times New Roman" w:hAnsi="Times New Roman" w:cs="Times New Roman"/>
          <w:i/>
          <w:sz w:val="24"/>
          <w:szCs w:val="24"/>
          <w:lang w:val="en-US"/>
        </w:rPr>
        <w:t>edn</w:t>
      </w:r>
      <w:proofErr w:type="spellEnd"/>
      <w:r w:rsidRPr="00FD6027">
        <w:rPr>
          <w:rFonts w:ascii="Times New Roman" w:hAnsi="Times New Roman" w:cs="Times New Roman"/>
          <w:i/>
          <w:sz w:val="24"/>
          <w:szCs w:val="24"/>
          <w:lang w:val="en-US"/>
        </w:rPr>
        <w:t>.)</w:t>
      </w:r>
      <w:r>
        <w:rPr>
          <w:rFonts w:ascii="Times New Roman" w:hAnsi="Times New Roman" w:cs="Times New Roman"/>
          <w:sz w:val="24"/>
          <w:szCs w:val="24"/>
          <w:lang w:val="en-US"/>
        </w:rPr>
        <w:t>.</w:t>
      </w:r>
      <w:r w:rsidRPr="00922329">
        <w:rPr>
          <w:rFonts w:ascii="Times New Roman" w:hAnsi="Times New Roman" w:cs="Times New Roman"/>
          <w:sz w:val="24"/>
          <w:szCs w:val="24"/>
          <w:lang w:val="en-US"/>
        </w:rPr>
        <w:t xml:space="preserve"> World Health Orga</w:t>
      </w:r>
      <w:r>
        <w:rPr>
          <w:rFonts w:ascii="Times New Roman" w:hAnsi="Times New Roman" w:cs="Times New Roman"/>
          <w:sz w:val="24"/>
          <w:szCs w:val="24"/>
          <w:lang w:val="en-US"/>
        </w:rPr>
        <w:t>nization Europe</w:t>
      </w:r>
      <w:r w:rsidRPr="00922329">
        <w:rPr>
          <w:rFonts w:ascii="Times New Roman" w:hAnsi="Times New Roman" w:cs="Times New Roman"/>
          <w:sz w:val="24"/>
          <w:szCs w:val="24"/>
          <w:lang w:val="en-US"/>
        </w:rPr>
        <w:t>.</w:t>
      </w:r>
    </w:p>
    <w:p w:rsidR="005C758F" w:rsidRDefault="00A63E1E"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World Health Organization</w:t>
      </w:r>
      <w:r w:rsidR="005C758F">
        <w:rPr>
          <w:rFonts w:ascii="Times New Roman" w:hAnsi="Times New Roman" w:cs="Times New Roman"/>
          <w:sz w:val="24"/>
          <w:szCs w:val="24"/>
        </w:rPr>
        <w:t xml:space="preserve"> </w:t>
      </w:r>
      <w:r w:rsidR="002E177F">
        <w:rPr>
          <w:rFonts w:ascii="Times New Roman" w:hAnsi="Times New Roman" w:cs="Times New Roman"/>
          <w:sz w:val="24"/>
          <w:szCs w:val="24"/>
        </w:rPr>
        <w:t xml:space="preserve">(2009). </w:t>
      </w:r>
      <w:r w:rsidR="005C758F" w:rsidRPr="00FA3B46">
        <w:rPr>
          <w:rFonts w:ascii="Times New Roman" w:hAnsi="Times New Roman" w:cs="Times New Roman"/>
          <w:i/>
          <w:sz w:val="24"/>
          <w:szCs w:val="24"/>
        </w:rPr>
        <w:t>Global health risks: Mortality and burden of disease attributable to selected major risks</w:t>
      </w:r>
      <w:r w:rsidR="005C758F" w:rsidRPr="00B07EC7">
        <w:rPr>
          <w:rFonts w:ascii="Times New Roman" w:hAnsi="Times New Roman" w:cs="Times New Roman"/>
          <w:sz w:val="24"/>
          <w:szCs w:val="24"/>
        </w:rPr>
        <w:t>.</w:t>
      </w:r>
      <w:r w:rsidR="005C758F">
        <w:rPr>
          <w:rFonts w:ascii="Times New Roman" w:hAnsi="Times New Roman" w:cs="Times New Roman"/>
          <w:sz w:val="24"/>
          <w:szCs w:val="24"/>
        </w:rPr>
        <w:t xml:space="preserve"> Geneva: </w:t>
      </w:r>
      <w:r w:rsidR="005C758F" w:rsidRPr="00922329">
        <w:rPr>
          <w:rFonts w:ascii="Times New Roman" w:hAnsi="Times New Roman" w:cs="Times New Roman"/>
          <w:sz w:val="24"/>
          <w:szCs w:val="24"/>
          <w:lang w:val="en-US"/>
        </w:rPr>
        <w:t>World Health Orga</w:t>
      </w:r>
      <w:r w:rsidR="005C758F">
        <w:rPr>
          <w:rFonts w:ascii="Times New Roman" w:hAnsi="Times New Roman" w:cs="Times New Roman"/>
          <w:sz w:val="24"/>
          <w:szCs w:val="24"/>
          <w:lang w:val="en-US"/>
        </w:rPr>
        <w:t>nization.</w:t>
      </w:r>
    </w:p>
    <w:p w:rsidR="00A94A21" w:rsidRDefault="00A94A21" w:rsidP="00461457">
      <w:pPr>
        <w:spacing w:after="0" w:line="36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Wulsin</w:t>
      </w:r>
      <w:proofErr w:type="spellEnd"/>
      <w:r>
        <w:rPr>
          <w:rFonts w:ascii="Times New Roman" w:hAnsi="Times New Roman" w:cs="Times New Roman"/>
          <w:sz w:val="24"/>
          <w:szCs w:val="24"/>
          <w:lang w:val="en-US"/>
        </w:rPr>
        <w:t xml:space="preserve">, L. R., &amp; </w:t>
      </w:r>
      <w:proofErr w:type="spellStart"/>
      <w:r>
        <w:rPr>
          <w:rFonts w:ascii="Times New Roman" w:hAnsi="Times New Roman" w:cs="Times New Roman"/>
          <w:sz w:val="24"/>
          <w:szCs w:val="24"/>
          <w:lang w:val="en-US"/>
        </w:rPr>
        <w:t>Singal</w:t>
      </w:r>
      <w:proofErr w:type="spellEnd"/>
      <w:r>
        <w:rPr>
          <w:rFonts w:ascii="Times New Roman" w:hAnsi="Times New Roman" w:cs="Times New Roman"/>
          <w:sz w:val="24"/>
          <w:szCs w:val="24"/>
          <w:lang w:val="en-US"/>
        </w:rPr>
        <w:t>, B. M. (2003). Do depressive symptoms increase the risk for the onset of coronary d</w:t>
      </w:r>
      <w:r w:rsidRPr="004E0F10">
        <w:rPr>
          <w:rFonts w:ascii="Times New Roman" w:hAnsi="Times New Roman" w:cs="Times New Roman"/>
          <w:sz w:val="24"/>
          <w:szCs w:val="24"/>
          <w:lang w:val="en-US"/>
        </w:rPr>
        <w:t>isease? A</w:t>
      </w:r>
      <w:r>
        <w:rPr>
          <w:rFonts w:ascii="Times New Roman" w:hAnsi="Times New Roman" w:cs="Times New Roman"/>
          <w:sz w:val="24"/>
          <w:szCs w:val="24"/>
          <w:lang w:val="en-US"/>
        </w:rPr>
        <w:t xml:space="preserve"> systematic quantitative review. </w:t>
      </w:r>
      <w:proofErr w:type="spellStart"/>
      <w:r w:rsidRPr="00FA3B46">
        <w:rPr>
          <w:rFonts w:ascii="Times New Roman" w:hAnsi="Times New Roman" w:cs="Times New Roman"/>
          <w:i/>
          <w:sz w:val="24"/>
          <w:szCs w:val="24"/>
          <w:lang w:val="en-US"/>
        </w:rPr>
        <w:t>PsychosomaticMedicine</w:t>
      </w:r>
      <w:proofErr w:type="spellEnd"/>
      <w:r w:rsidRPr="00FA3B46">
        <w:rPr>
          <w:rFonts w:ascii="Times New Roman" w:hAnsi="Times New Roman" w:cs="Times New Roman"/>
          <w:i/>
          <w:sz w:val="24"/>
          <w:szCs w:val="24"/>
          <w:lang w:val="en-US"/>
        </w:rPr>
        <w:t>, 65</w:t>
      </w:r>
      <w:r>
        <w:rPr>
          <w:rFonts w:ascii="Times New Roman" w:hAnsi="Times New Roman" w:cs="Times New Roman"/>
          <w:sz w:val="24"/>
          <w:szCs w:val="24"/>
          <w:lang w:val="en-US"/>
        </w:rPr>
        <w:t>, 201-210.</w:t>
      </w:r>
    </w:p>
    <w:p w:rsidR="005C758F" w:rsidRPr="00CE2CA2" w:rsidRDefault="000C6051"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Yusuf</w:t>
      </w:r>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Reddy</w:t>
      </w:r>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Ôunpuu</w:t>
      </w:r>
      <w:proofErr w:type="spellEnd"/>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xml:space="preserve">, </w:t>
      </w:r>
      <w:r w:rsidR="00F147EA" w:rsidRPr="00F147EA">
        <w:rPr>
          <w:rFonts w:ascii="Times New Roman" w:hAnsi="Times New Roman" w:cs="Times New Roman"/>
          <w:sz w:val="24"/>
          <w:szCs w:val="24"/>
        </w:rPr>
        <w:t xml:space="preserve">&amp; </w:t>
      </w:r>
      <w:proofErr w:type="spellStart"/>
      <w:r w:rsidR="00F147EA" w:rsidRPr="00F147EA">
        <w:rPr>
          <w:rFonts w:ascii="Times New Roman" w:hAnsi="Times New Roman" w:cs="Times New Roman"/>
          <w:sz w:val="24"/>
          <w:szCs w:val="24"/>
        </w:rPr>
        <w:t>Anand</w:t>
      </w:r>
      <w:proofErr w:type="spellEnd"/>
      <w:r w:rsidR="00F147EA" w:rsidRPr="00F147EA">
        <w:rPr>
          <w:rFonts w:ascii="Times New Roman" w:hAnsi="Times New Roman" w:cs="Times New Roman"/>
          <w:sz w:val="24"/>
          <w:szCs w:val="24"/>
        </w:rPr>
        <w:t>, S.</w:t>
      </w:r>
      <w:r w:rsidR="002E177F">
        <w:rPr>
          <w:rFonts w:ascii="Times New Roman" w:hAnsi="Times New Roman" w:cs="Times New Roman"/>
          <w:sz w:val="24"/>
          <w:szCs w:val="24"/>
        </w:rPr>
        <w:t xml:space="preserve"> (2001</w:t>
      </w:r>
      <w:r w:rsidR="00F147EA">
        <w:rPr>
          <w:rFonts w:ascii="Times New Roman" w:hAnsi="Times New Roman" w:cs="Times New Roman"/>
          <w:sz w:val="24"/>
          <w:szCs w:val="24"/>
        </w:rPr>
        <w:t>a</w:t>
      </w:r>
      <w:r w:rsidR="002E177F">
        <w:rPr>
          <w:rFonts w:ascii="Times New Roman" w:hAnsi="Times New Roman" w:cs="Times New Roman"/>
          <w:sz w:val="24"/>
          <w:szCs w:val="24"/>
        </w:rPr>
        <w:t>).</w:t>
      </w:r>
      <w:r w:rsidRPr="00CE2CA2">
        <w:rPr>
          <w:rFonts w:ascii="Times New Roman" w:hAnsi="Times New Roman" w:cs="Times New Roman"/>
          <w:sz w:val="24"/>
          <w:szCs w:val="24"/>
        </w:rPr>
        <w:t xml:space="preserve"> Global burden of c</w:t>
      </w:r>
      <w:r>
        <w:rPr>
          <w:rFonts w:ascii="Times New Roman" w:hAnsi="Times New Roman" w:cs="Times New Roman"/>
          <w:sz w:val="24"/>
          <w:szCs w:val="24"/>
        </w:rPr>
        <w:t xml:space="preserve">ardiovascular diseases Part I: </w:t>
      </w:r>
      <w:r w:rsidR="005161E9">
        <w:rPr>
          <w:rFonts w:ascii="Times New Roman" w:hAnsi="Times New Roman" w:cs="Times New Roman"/>
          <w:sz w:val="24"/>
          <w:szCs w:val="24"/>
        </w:rPr>
        <w:t>G</w:t>
      </w:r>
      <w:r w:rsidRPr="00CE2CA2">
        <w:rPr>
          <w:rFonts w:ascii="Times New Roman" w:hAnsi="Times New Roman" w:cs="Times New Roman"/>
          <w:sz w:val="24"/>
          <w:szCs w:val="24"/>
        </w:rPr>
        <w:t xml:space="preserve">eneral considerations, the epidemiologic transition, risk factors, and impact of urbanization. </w:t>
      </w:r>
      <w:r w:rsidRPr="00CE2CA2">
        <w:rPr>
          <w:rFonts w:ascii="Times New Roman" w:hAnsi="Times New Roman" w:cs="Times New Roman"/>
          <w:i/>
          <w:sz w:val="24"/>
          <w:szCs w:val="24"/>
        </w:rPr>
        <w:t>Circ</w:t>
      </w:r>
      <w:r>
        <w:rPr>
          <w:rFonts w:ascii="Times New Roman" w:hAnsi="Times New Roman" w:cs="Times New Roman"/>
          <w:i/>
          <w:sz w:val="24"/>
          <w:szCs w:val="24"/>
        </w:rPr>
        <w:t>ulation</w:t>
      </w:r>
      <w:r w:rsidR="002E177F">
        <w:rPr>
          <w:rFonts w:ascii="Times New Roman" w:hAnsi="Times New Roman" w:cs="Times New Roman"/>
          <w:i/>
          <w:sz w:val="24"/>
          <w:szCs w:val="24"/>
        </w:rPr>
        <w:t>,</w:t>
      </w:r>
      <w:r w:rsidR="002E177F" w:rsidRPr="002E177F">
        <w:rPr>
          <w:rFonts w:ascii="Times New Roman" w:hAnsi="Times New Roman" w:cs="Times New Roman"/>
          <w:i/>
          <w:sz w:val="24"/>
          <w:szCs w:val="24"/>
        </w:rPr>
        <w:t xml:space="preserve"> 104</w:t>
      </w:r>
      <w:r w:rsidR="002E177F">
        <w:rPr>
          <w:rFonts w:ascii="Times New Roman" w:hAnsi="Times New Roman" w:cs="Times New Roman"/>
          <w:sz w:val="24"/>
          <w:szCs w:val="24"/>
        </w:rPr>
        <w:t xml:space="preserve">, </w:t>
      </w:r>
      <w:r>
        <w:rPr>
          <w:rFonts w:ascii="Times New Roman" w:hAnsi="Times New Roman" w:cs="Times New Roman"/>
          <w:sz w:val="24"/>
          <w:szCs w:val="24"/>
        </w:rPr>
        <w:t>2746-</w:t>
      </w:r>
      <w:r w:rsidR="00733501">
        <w:rPr>
          <w:rFonts w:ascii="Times New Roman" w:hAnsi="Times New Roman" w:cs="Times New Roman"/>
          <w:sz w:val="24"/>
          <w:szCs w:val="24"/>
        </w:rPr>
        <w:t>27</w:t>
      </w:r>
      <w:r w:rsidRPr="00CE2CA2">
        <w:rPr>
          <w:rFonts w:ascii="Times New Roman" w:hAnsi="Times New Roman" w:cs="Times New Roman"/>
          <w:sz w:val="24"/>
          <w:szCs w:val="24"/>
        </w:rPr>
        <w:t>53.</w:t>
      </w:r>
    </w:p>
    <w:p w:rsidR="00234B22" w:rsidRPr="00E967E7" w:rsidRDefault="00297446" w:rsidP="00461457">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Yusuf</w:t>
      </w:r>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Reddy</w:t>
      </w:r>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Ôunpuu</w:t>
      </w:r>
      <w:proofErr w:type="spellEnd"/>
      <w:r w:rsidR="002E177F">
        <w:rPr>
          <w:rFonts w:ascii="Times New Roman" w:hAnsi="Times New Roman" w:cs="Times New Roman"/>
          <w:sz w:val="24"/>
          <w:szCs w:val="24"/>
        </w:rPr>
        <w:t>,</w:t>
      </w:r>
      <w:r>
        <w:rPr>
          <w:rFonts w:ascii="Times New Roman" w:hAnsi="Times New Roman" w:cs="Times New Roman"/>
          <w:sz w:val="24"/>
          <w:szCs w:val="24"/>
        </w:rPr>
        <w:t xml:space="preserve"> S</w:t>
      </w:r>
      <w:r w:rsidR="002E177F">
        <w:rPr>
          <w:rFonts w:ascii="Times New Roman" w:hAnsi="Times New Roman" w:cs="Times New Roman"/>
          <w:sz w:val="24"/>
          <w:szCs w:val="24"/>
        </w:rPr>
        <w:t>.</w:t>
      </w:r>
      <w:r>
        <w:rPr>
          <w:rFonts w:ascii="Times New Roman" w:hAnsi="Times New Roman" w:cs="Times New Roman"/>
          <w:sz w:val="24"/>
          <w:szCs w:val="24"/>
        </w:rPr>
        <w:t xml:space="preserve">, </w:t>
      </w:r>
      <w:r w:rsidR="002E177F">
        <w:rPr>
          <w:rFonts w:ascii="Times New Roman" w:hAnsi="Times New Roman" w:cs="Times New Roman"/>
          <w:sz w:val="24"/>
          <w:szCs w:val="24"/>
        </w:rPr>
        <w:t xml:space="preserve">&amp; </w:t>
      </w:r>
      <w:proofErr w:type="spellStart"/>
      <w:r>
        <w:rPr>
          <w:rFonts w:ascii="Times New Roman" w:hAnsi="Times New Roman" w:cs="Times New Roman"/>
          <w:sz w:val="24"/>
          <w:szCs w:val="24"/>
        </w:rPr>
        <w:t>Anand</w:t>
      </w:r>
      <w:proofErr w:type="spellEnd"/>
      <w:r w:rsidR="002E177F">
        <w:rPr>
          <w:rFonts w:ascii="Times New Roman" w:hAnsi="Times New Roman" w:cs="Times New Roman"/>
          <w:sz w:val="24"/>
          <w:szCs w:val="24"/>
        </w:rPr>
        <w:t>,</w:t>
      </w:r>
      <w:r>
        <w:rPr>
          <w:rFonts w:ascii="Times New Roman" w:hAnsi="Times New Roman" w:cs="Times New Roman"/>
          <w:sz w:val="24"/>
          <w:szCs w:val="24"/>
        </w:rPr>
        <w:t xml:space="preserve"> S. </w:t>
      </w:r>
      <w:r w:rsidR="002E177F">
        <w:rPr>
          <w:rFonts w:ascii="Times New Roman" w:hAnsi="Times New Roman" w:cs="Times New Roman"/>
          <w:sz w:val="24"/>
          <w:szCs w:val="24"/>
        </w:rPr>
        <w:t>(2001</w:t>
      </w:r>
      <w:r w:rsidR="00F147EA">
        <w:rPr>
          <w:rFonts w:ascii="Times New Roman" w:hAnsi="Times New Roman" w:cs="Times New Roman"/>
          <w:sz w:val="24"/>
          <w:szCs w:val="24"/>
        </w:rPr>
        <w:t>b</w:t>
      </w:r>
      <w:r w:rsidR="002E177F">
        <w:rPr>
          <w:rFonts w:ascii="Times New Roman" w:hAnsi="Times New Roman" w:cs="Times New Roman"/>
          <w:sz w:val="24"/>
          <w:szCs w:val="24"/>
        </w:rPr>
        <w:t xml:space="preserve">). </w:t>
      </w:r>
      <w:r w:rsidR="005C758F" w:rsidRPr="00CE2CA2">
        <w:rPr>
          <w:rFonts w:ascii="Times New Roman" w:hAnsi="Times New Roman" w:cs="Times New Roman"/>
          <w:sz w:val="24"/>
          <w:szCs w:val="24"/>
        </w:rPr>
        <w:t>Global burden of ca</w:t>
      </w:r>
      <w:r w:rsidR="009D29C0">
        <w:rPr>
          <w:rFonts w:ascii="Times New Roman" w:hAnsi="Times New Roman" w:cs="Times New Roman"/>
          <w:sz w:val="24"/>
          <w:szCs w:val="24"/>
        </w:rPr>
        <w:t xml:space="preserve">rdiovascular diseases Part II: </w:t>
      </w:r>
      <w:r w:rsidR="005161E9">
        <w:rPr>
          <w:rFonts w:ascii="Times New Roman" w:hAnsi="Times New Roman" w:cs="Times New Roman"/>
          <w:sz w:val="24"/>
          <w:szCs w:val="24"/>
        </w:rPr>
        <w:t>V</w:t>
      </w:r>
      <w:r w:rsidR="005C758F" w:rsidRPr="00CE2CA2">
        <w:rPr>
          <w:rFonts w:ascii="Times New Roman" w:hAnsi="Times New Roman" w:cs="Times New Roman"/>
          <w:sz w:val="24"/>
          <w:szCs w:val="24"/>
        </w:rPr>
        <w:t>ariations in cardiovascular disease by specific ethnic groups and</w:t>
      </w:r>
      <w:r w:rsidR="005C758F">
        <w:rPr>
          <w:rFonts w:ascii="Times New Roman" w:hAnsi="Times New Roman" w:cs="Times New Roman"/>
          <w:sz w:val="24"/>
          <w:szCs w:val="24"/>
        </w:rPr>
        <w:t xml:space="preserve"> geographic regions and prevention s</w:t>
      </w:r>
      <w:r w:rsidR="005C758F" w:rsidRPr="00DF3986">
        <w:rPr>
          <w:rFonts w:ascii="Times New Roman" w:hAnsi="Times New Roman" w:cs="Times New Roman"/>
          <w:sz w:val="24"/>
          <w:szCs w:val="24"/>
        </w:rPr>
        <w:t>trategies</w:t>
      </w:r>
      <w:r w:rsidR="005C758F">
        <w:rPr>
          <w:rFonts w:ascii="Times New Roman" w:hAnsi="Times New Roman" w:cs="Times New Roman"/>
          <w:sz w:val="24"/>
          <w:szCs w:val="24"/>
        </w:rPr>
        <w:t xml:space="preserve">. </w:t>
      </w:r>
      <w:r>
        <w:rPr>
          <w:rFonts w:ascii="Times New Roman" w:hAnsi="Times New Roman" w:cs="Times New Roman"/>
          <w:i/>
          <w:sz w:val="24"/>
          <w:szCs w:val="24"/>
        </w:rPr>
        <w:t>Circulation</w:t>
      </w:r>
      <w:r w:rsidR="002E177F">
        <w:rPr>
          <w:rFonts w:ascii="Times New Roman" w:hAnsi="Times New Roman" w:cs="Times New Roman"/>
          <w:i/>
          <w:sz w:val="24"/>
          <w:szCs w:val="24"/>
        </w:rPr>
        <w:t>,</w:t>
      </w:r>
      <w:r w:rsidR="002E177F" w:rsidRPr="002E177F">
        <w:rPr>
          <w:rFonts w:ascii="Times New Roman" w:hAnsi="Times New Roman" w:cs="Times New Roman"/>
          <w:i/>
          <w:sz w:val="24"/>
          <w:szCs w:val="24"/>
        </w:rPr>
        <w:t xml:space="preserve"> </w:t>
      </w:r>
      <w:r w:rsidR="005C758F" w:rsidRPr="002E177F">
        <w:rPr>
          <w:rFonts w:ascii="Times New Roman" w:hAnsi="Times New Roman" w:cs="Times New Roman"/>
          <w:i/>
          <w:sz w:val="24"/>
          <w:szCs w:val="24"/>
        </w:rPr>
        <w:t>104</w:t>
      </w:r>
      <w:r w:rsidR="002E177F">
        <w:rPr>
          <w:rFonts w:ascii="Times New Roman" w:hAnsi="Times New Roman" w:cs="Times New Roman"/>
          <w:sz w:val="24"/>
          <w:szCs w:val="24"/>
        </w:rPr>
        <w:t>,</w:t>
      </w:r>
      <w:r w:rsidR="00733501">
        <w:rPr>
          <w:rFonts w:ascii="Times New Roman" w:hAnsi="Times New Roman" w:cs="Times New Roman"/>
          <w:sz w:val="24"/>
          <w:szCs w:val="24"/>
        </w:rPr>
        <w:t xml:space="preserve"> </w:t>
      </w:r>
      <w:r>
        <w:rPr>
          <w:rFonts w:ascii="Times New Roman" w:hAnsi="Times New Roman" w:cs="Times New Roman"/>
          <w:sz w:val="24"/>
          <w:szCs w:val="24"/>
        </w:rPr>
        <w:t>2855-</w:t>
      </w:r>
      <w:r w:rsidR="00733501">
        <w:rPr>
          <w:rFonts w:ascii="Times New Roman" w:hAnsi="Times New Roman" w:cs="Times New Roman"/>
          <w:sz w:val="24"/>
          <w:szCs w:val="24"/>
        </w:rPr>
        <w:t>28</w:t>
      </w:r>
      <w:r w:rsidR="005C758F" w:rsidRPr="00DF3986">
        <w:rPr>
          <w:rFonts w:ascii="Times New Roman" w:hAnsi="Times New Roman" w:cs="Times New Roman"/>
          <w:sz w:val="24"/>
          <w:szCs w:val="24"/>
        </w:rPr>
        <w:t>64</w:t>
      </w:r>
      <w:r w:rsidR="005C758F">
        <w:rPr>
          <w:rFonts w:ascii="Times New Roman" w:hAnsi="Times New Roman" w:cs="Times New Roman"/>
          <w:sz w:val="24"/>
          <w:szCs w:val="24"/>
        </w:rPr>
        <w:t>.</w:t>
      </w:r>
    </w:p>
    <w:sectPr w:rsidR="00234B22" w:rsidRPr="00E967E7" w:rsidSect="00FA75DB">
      <w:headerReference w:type="even" r:id="rId25"/>
      <w:headerReference w:type="default" r:id="rId26"/>
      <w:footerReference w:type="default" r:id="rId27"/>
      <w:headerReference w:type="first" r:id="rId2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02" w:rsidRDefault="00AD1702" w:rsidP="00062C80">
      <w:pPr>
        <w:spacing w:after="0" w:line="240" w:lineRule="auto"/>
      </w:pPr>
      <w:r>
        <w:separator/>
      </w:r>
    </w:p>
  </w:endnote>
  <w:endnote w:type="continuationSeparator" w:id="0">
    <w:p w:rsidR="00AD1702" w:rsidRDefault="00AD1702" w:rsidP="00062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7" w:rsidRPr="00F266EF" w:rsidRDefault="00461457" w:rsidP="00F266EF">
    <w:pPr>
      <w:pStyle w:val="Footer"/>
      <w:jc w:val="center"/>
    </w:pPr>
  </w:p>
  <w:p w:rsidR="00461457" w:rsidRDefault="00461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02" w:rsidRDefault="00AD1702" w:rsidP="00062C80">
      <w:pPr>
        <w:spacing w:after="0" w:line="240" w:lineRule="auto"/>
      </w:pPr>
      <w:r>
        <w:separator/>
      </w:r>
    </w:p>
  </w:footnote>
  <w:footnote w:type="continuationSeparator" w:id="0">
    <w:p w:rsidR="00AD1702" w:rsidRDefault="00AD1702" w:rsidP="00062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CE" w:rsidRDefault="00E21778">
    <w:pPr>
      <w:pStyle w:val="Header"/>
    </w:pPr>
    <w:r w:rsidRPr="00E217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8297"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Calibri&quot;;font-size:1pt" string="Author accepted manuscrip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7" w:rsidRDefault="00E21778">
    <w:pPr>
      <w:pStyle w:val="Header"/>
      <w:jc w:val="right"/>
    </w:pPr>
    <w:r w:rsidRPr="00E217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8298" o:spid="_x0000_s2051" type="#_x0000_t136" style="position:absolute;left:0;text-align:left;margin-left:0;margin-top:0;width:565.55pt;height:70.65pt;rotation:315;z-index:-251653120;mso-position-horizontal:center;mso-position-horizontal-relative:margin;mso-position-vertical:center;mso-position-vertical-relative:margin" o:allowincell="f" fillcolor="silver" stroked="f">
          <v:fill opacity=".5"/>
          <v:textpath style="font-family:&quot;Calibri&quot;;font-size:1pt" string="Author accepted manuscript"/>
          <w10:wrap anchorx="margin" anchory="margin"/>
        </v:shape>
      </w:pict>
    </w:r>
    <w:sdt>
      <w:sdtPr>
        <w:id w:val="990757749"/>
        <w:docPartObj>
          <w:docPartGallery w:val="Page Numbers (Top of Page)"/>
          <w:docPartUnique/>
        </w:docPartObj>
      </w:sdtPr>
      <w:sdtEndPr>
        <w:rPr>
          <w:noProof/>
        </w:rPr>
      </w:sdtEndPr>
      <w:sdtContent>
        <w:r w:rsidR="00461457">
          <w:t xml:space="preserve">Impact of CHD risk factors on related disability </w:t>
        </w:r>
        <w:r>
          <w:fldChar w:fldCharType="begin"/>
        </w:r>
        <w:r w:rsidR="00461457">
          <w:instrText xml:space="preserve"> PAGE   \* MERGEFORMAT </w:instrText>
        </w:r>
        <w:r>
          <w:fldChar w:fldCharType="separate"/>
        </w:r>
        <w:r w:rsidR="008F1900">
          <w:rPr>
            <w:noProof/>
          </w:rPr>
          <w:t>14</w:t>
        </w:r>
        <w:r>
          <w:rPr>
            <w:noProof/>
          </w:rPr>
          <w:fldChar w:fldCharType="end"/>
        </w:r>
      </w:sdtContent>
    </w:sdt>
  </w:p>
  <w:p w:rsidR="00461457" w:rsidRDefault="00461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CE" w:rsidRDefault="00E21778">
    <w:pPr>
      <w:pStyle w:val="Header"/>
    </w:pPr>
    <w:r w:rsidRPr="00E217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8296"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Calibri&quot;;font-size:1pt" string="Author accepted manuscrip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E37"/>
    <w:multiLevelType w:val="multilevel"/>
    <w:tmpl w:val="8E18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F2140"/>
    <w:multiLevelType w:val="multilevel"/>
    <w:tmpl w:val="7CF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079DC"/>
    <w:multiLevelType w:val="multilevel"/>
    <w:tmpl w:val="97D4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63115"/>
    <w:multiLevelType w:val="hybridMultilevel"/>
    <w:tmpl w:val="6520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42F66"/>
    <w:multiLevelType w:val="hybridMultilevel"/>
    <w:tmpl w:val="DFE25E7E"/>
    <w:lvl w:ilvl="0" w:tplc="2EB8B98C">
      <w:start w:val="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E32DE"/>
    <w:multiLevelType w:val="multilevel"/>
    <w:tmpl w:val="4F90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65CFE"/>
    <w:multiLevelType w:val="hybridMultilevel"/>
    <w:tmpl w:val="777E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111A05"/>
    <w:multiLevelType w:val="multilevel"/>
    <w:tmpl w:val="B32C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66181"/>
    <w:multiLevelType w:val="hybridMultilevel"/>
    <w:tmpl w:val="8712507E"/>
    <w:lvl w:ilvl="0" w:tplc="9022E534">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B34D20"/>
    <w:multiLevelType w:val="multilevel"/>
    <w:tmpl w:val="030A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529F5"/>
    <w:multiLevelType w:val="multilevel"/>
    <w:tmpl w:val="A2B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1205F"/>
    <w:multiLevelType w:val="hybridMultilevel"/>
    <w:tmpl w:val="1C3E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42CCB"/>
    <w:multiLevelType w:val="multilevel"/>
    <w:tmpl w:val="6AE0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56268"/>
    <w:multiLevelType w:val="hybridMultilevel"/>
    <w:tmpl w:val="1304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A3CC8"/>
    <w:multiLevelType w:val="hybridMultilevel"/>
    <w:tmpl w:val="02BA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B50F11"/>
    <w:multiLevelType w:val="hybridMultilevel"/>
    <w:tmpl w:val="770A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B2C1E"/>
    <w:multiLevelType w:val="hybridMultilevel"/>
    <w:tmpl w:val="1352B916"/>
    <w:lvl w:ilvl="0" w:tplc="27D0A042">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AA62A40"/>
    <w:multiLevelType w:val="multilevel"/>
    <w:tmpl w:val="2A4E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C247D3"/>
    <w:multiLevelType w:val="hybridMultilevel"/>
    <w:tmpl w:val="D2F0E052"/>
    <w:lvl w:ilvl="0" w:tplc="ACB4121A">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5"/>
  </w:num>
  <w:num w:numId="4">
    <w:abstractNumId w:val="13"/>
  </w:num>
  <w:num w:numId="5">
    <w:abstractNumId w:val="18"/>
  </w:num>
  <w:num w:numId="6">
    <w:abstractNumId w:val="4"/>
  </w:num>
  <w:num w:numId="7">
    <w:abstractNumId w:val="9"/>
  </w:num>
  <w:num w:numId="8">
    <w:abstractNumId w:val="7"/>
  </w:num>
  <w:num w:numId="9">
    <w:abstractNumId w:val="8"/>
  </w:num>
  <w:num w:numId="10">
    <w:abstractNumId w:val="0"/>
  </w:num>
  <w:num w:numId="11">
    <w:abstractNumId w:val="1"/>
  </w:num>
  <w:num w:numId="12">
    <w:abstractNumId w:val="2"/>
  </w:num>
  <w:num w:numId="13">
    <w:abstractNumId w:val="5"/>
  </w:num>
  <w:num w:numId="14">
    <w:abstractNumId w:val="12"/>
  </w:num>
  <w:num w:numId="15">
    <w:abstractNumId w:val="17"/>
  </w:num>
  <w:num w:numId="16">
    <w:abstractNumId w:val="10"/>
  </w:num>
  <w:num w:numId="17">
    <w:abstractNumId w:val="14"/>
  </w:num>
  <w:num w:numId="18">
    <w:abstractNumId w:val="11"/>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E244C2"/>
    <w:rsid w:val="000010EA"/>
    <w:rsid w:val="00001F70"/>
    <w:rsid w:val="00002549"/>
    <w:rsid w:val="00003803"/>
    <w:rsid w:val="0000395C"/>
    <w:rsid w:val="00004C27"/>
    <w:rsid w:val="00005607"/>
    <w:rsid w:val="000101EA"/>
    <w:rsid w:val="00010256"/>
    <w:rsid w:val="000121C8"/>
    <w:rsid w:val="00013838"/>
    <w:rsid w:val="00013CFB"/>
    <w:rsid w:val="00014439"/>
    <w:rsid w:val="000160A9"/>
    <w:rsid w:val="00017DBF"/>
    <w:rsid w:val="00020ED9"/>
    <w:rsid w:val="000219BA"/>
    <w:rsid w:val="00024D61"/>
    <w:rsid w:val="0002547B"/>
    <w:rsid w:val="00025BBF"/>
    <w:rsid w:val="000261B9"/>
    <w:rsid w:val="000318B9"/>
    <w:rsid w:val="00034598"/>
    <w:rsid w:val="0003480D"/>
    <w:rsid w:val="00035532"/>
    <w:rsid w:val="00036465"/>
    <w:rsid w:val="000366EF"/>
    <w:rsid w:val="00040B39"/>
    <w:rsid w:val="000439E9"/>
    <w:rsid w:val="000439F5"/>
    <w:rsid w:val="00043FEA"/>
    <w:rsid w:val="0004557E"/>
    <w:rsid w:val="00045BFB"/>
    <w:rsid w:val="000509D3"/>
    <w:rsid w:val="0005233D"/>
    <w:rsid w:val="00055044"/>
    <w:rsid w:val="000555DB"/>
    <w:rsid w:val="00056822"/>
    <w:rsid w:val="00056DDF"/>
    <w:rsid w:val="00056EA9"/>
    <w:rsid w:val="00060B35"/>
    <w:rsid w:val="00061939"/>
    <w:rsid w:val="00062456"/>
    <w:rsid w:val="00062C80"/>
    <w:rsid w:val="00063786"/>
    <w:rsid w:val="000641C2"/>
    <w:rsid w:val="00067E23"/>
    <w:rsid w:val="00070BDD"/>
    <w:rsid w:val="0007343F"/>
    <w:rsid w:val="00073DB2"/>
    <w:rsid w:val="0007635A"/>
    <w:rsid w:val="00080137"/>
    <w:rsid w:val="00081582"/>
    <w:rsid w:val="0008196C"/>
    <w:rsid w:val="00084831"/>
    <w:rsid w:val="00090DB2"/>
    <w:rsid w:val="00092AA4"/>
    <w:rsid w:val="0009359D"/>
    <w:rsid w:val="0009457C"/>
    <w:rsid w:val="00094775"/>
    <w:rsid w:val="00096B8D"/>
    <w:rsid w:val="00096D28"/>
    <w:rsid w:val="00097458"/>
    <w:rsid w:val="000A21FD"/>
    <w:rsid w:val="000A25CB"/>
    <w:rsid w:val="000A28C2"/>
    <w:rsid w:val="000A2E69"/>
    <w:rsid w:val="000A69C0"/>
    <w:rsid w:val="000A73F3"/>
    <w:rsid w:val="000B2C0A"/>
    <w:rsid w:val="000B3D7A"/>
    <w:rsid w:val="000B76CB"/>
    <w:rsid w:val="000B7923"/>
    <w:rsid w:val="000C034B"/>
    <w:rsid w:val="000C496D"/>
    <w:rsid w:val="000C4C09"/>
    <w:rsid w:val="000C5161"/>
    <w:rsid w:val="000C57CD"/>
    <w:rsid w:val="000C6051"/>
    <w:rsid w:val="000D0194"/>
    <w:rsid w:val="000D0B0B"/>
    <w:rsid w:val="000D16E0"/>
    <w:rsid w:val="000D2BDC"/>
    <w:rsid w:val="000D3652"/>
    <w:rsid w:val="000D3EFB"/>
    <w:rsid w:val="000E57C3"/>
    <w:rsid w:val="000E5C50"/>
    <w:rsid w:val="000E5D58"/>
    <w:rsid w:val="000E63C0"/>
    <w:rsid w:val="000F2787"/>
    <w:rsid w:val="000F5BAB"/>
    <w:rsid w:val="001003E5"/>
    <w:rsid w:val="00100524"/>
    <w:rsid w:val="0010141F"/>
    <w:rsid w:val="00102D47"/>
    <w:rsid w:val="0010312C"/>
    <w:rsid w:val="001054E8"/>
    <w:rsid w:val="001110B0"/>
    <w:rsid w:val="001134B3"/>
    <w:rsid w:val="00116D8E"/>
    <w:rsid w:val="0011738B"/>
    <w:rsid w:val="00121B5C"/>
    <w:rsid w:val="00122263"/>
    <w:rsid w:val="00125D99"/>
    <w:rsid w:val="001278E9"/>
    <w:rsid w:val="00127A35"/>
    <w:rsid w:val="0013034E"/>
    <w:rsid w:val="0013143E"/>
    <w:rsid w:val="0013221D"/>
    <w:rsid w:val="00132516"/>
    <w:rsid w:val="00132AD9"/>
    <w:rsid w:val="001342C9"/>
    <w:rsid w:val="00135BAB"/>
    <w:rsid w:val="00144E94"/>
    <w:rsid w:val="00145FCA"/>
    <w:rsid w:val="00147B58"/>
    <w:rsid w:val="00147C9B"/>
    <w:rsid w:val="00152733"/>
    <w:rsid w:val="001550A9"/>
    <w:rsid w:val="00156FF9"/>
    <w:rsid w:val="001601F0"/>
    <w:rsid w:val="00160BAA"/>
    <w:rsid w:val="00160EEA"/>
    <w:rsid w:val="00161EFE"/>
    <w:rsid w:val="001650D9"/>
    <w:rsid w:val="00167F5C"/>
    <w:rsid w:val="00173005"/>
    <w:rsid w:val="001736A3"/>
    <w:rsid w:val="001736D2"/>
    <w:rsid w:val="00174746"/>
    <w:rsid w:val="0017495D"/>
    <w:rsid w:val="00181833"/>
    <w:rsid w:val="00182799"/>
    <w:rsid w:val="00183408"/>
    <w:rsid w:val="00185099"/>
    <w:rsid w:val="0018766D"/>
    <w:rsid w:val="00187AD1"/>
    <w:rsid w:val="00190530"/>
    <w:rsid w:val="001908D0"/>
    <w:rsid w:val="001931B5"/>
    <w:rsid w:val="001931F2"/>
    <w:rsid w:val="00193302"/>
    <w:rsid w:val="001956B3"/>
    <w:rsid w:val="00196F27"/>
    <w:rsid w:val="001A40AF"/>
    <w:rsid w:val="001A44B6"/>
    <w:rsid w:val="001A5D97"/>
    <w:rsid w:val="001A6CAC"/>
    <w:rsid w:val="001A7681"/>
    <w:rsid w:val="001B1A89"/>
    <w:rsid w:val="001B24FA"/>
    <w:rsid w:val="001B2C34"/>
    <w:rsid w:val="001B56C8"/>
    <w:rsid w:val="001B56E8"/>
    <w:rsid w:val="001B637F"/>
    <w:rsid w:val="001B7AAD"/>
    <w:rsid w:val="001C024E"/>
    <w:rsid w:val="001C1D4B"/>
    <w:rsid w:val="001C288B"/>
    <w:rsid w:val="001C2A45"/>
    <w:rsid w:val="001C405C"/>
    <w:rsid w:val="001C5401"/>
    <w:rsid w:val="001C55A7"/>
    <w:rsid w:val="001C6CBB"/>
    <w:rsid w:val="001D0ED3"/>
    <w:rsid w:val="001D1897"/>
    <w:rsid w:val="001D1FA1"/>
    <w:rsid w:val="001D2623"/>
    <w:rsid w:val="001D2A6E"/>
    <w:rsid w:val="001D46D1"/>
    <w:rsid w:val="001D5157"/>
    <w:rsid w:val="001D565C"/>
    <w:rsid w:val="001E3C07"/>
    <w:rsid w:val="001E4F58"/>
    <w:rsid w:val="001E6526"/>
    <w:rsid w:val="001E6EB4"/>
    <w:rsid w:val="001F1536"/>
    <w:rsid w:val="001F1FC7"/>
    <w:rsid w:val="001F374B"/>
    <w:rsid w:val="001F386B"/>
    <w:rsid w:val="001F414A"/>
    <w:rsid w:val="001F4F5C"/>
    <w:rsid w:val="001F5B7E"/>
    <w:rsid w:val="001F7393"/>
    <w:rsid w:val="001F74AB"/>
    <w:rsid w:val="001F7941"/>
    <w:rsid w:val="0020173E"/>
    <w:rsid w:val="002018AD"/>
    <w:rsid w:val="00202B44"/>
    <w:rsid w:val="002046C9"/>
    <w:rsid w:val="00205412"/>
    <w:rsid w:val="002077B9"/>
    <w:rsid w:val="00210AAF"/>
    <w:rsid w:val="00211768"/>
    <w:rsid w:val="00213A30"/>
    <w:rsid w:val="002142BD"/>
    <w:rsid w:val="002164B6"/>
    <w:rsid w:val="00222DEC"/>
    <w:rsid w:val="002230F6"/>
    <w:rsid w:val="00225E47"/>
    <w:rsid w:val="00226076"/>
    <w:rsid w:val="00232BD0"/>
    <w:rsid w:val="002330AF"/>
    <w:rsid w:val="00234B22"/>
    <w:rsid w:val="0023514E"/>
    <w:rsid w:val="0024074C"/>
    <w:rsid w:val="002411EB"/>
    <w:rsid w:val="00242BAE"/>
    <w:rsid w:val="00242E4E"/>
    <w:rsid w:val="00243F32"/>
    <w:rsid w:val="00244A28"/>
    <w:rsid w:val="00245308"/>
    <w:rsid w:val="00246FC1"/>
    <w:rsid w:val="00246FE9"/>
    <w:rsid w:val="002505BF"/>
    <w:rsid w:val="002514CE"/>
    <w:rsid w:val="00251778"/>
    <w:rsid w:val="00252084"/>
    <w:rsid w:val="00253868"/>
    <w:rsid w:val="00253B6A"/>
    <w:rsid w:val="002646AB"/>
    <w:rsid w:val="00264838"/>
    <w:rsid w:val="00265916"/>
    <w:rsid w:val="00272691"/>
    <w:rsid w:val="00272DD1"/>
    <w:rsid w:val="00273CA6"/>
    <w:rsid w:val="0027540E"/>
    <w:rsid w:val="002766E2"/>
    <w:rsid w:val="002825E6"/>
    <w:rsid w:val="00284B23"/>
    <w:rsid w:val="00286257"/>
    <w:rsid w:val="002862AE"/>
    <w:rsid w:val="002879F3"/>
    <w:rsid w:val="00290D4F"/>
    <w:rsid w:val="00292CDB"/>
    <w:rsid w:val="00294C05"/>
    <w:rsid w:val="00297446"/>
    <w:rsid w:val="002A0F6C"/>
    <w:rsid w:val="002A268F"/>
    <w:rsid w:val="002A3E51"/>
    <w:rsid w:val="002A5084"/>
    <w:rsid w:val="002A741E"/>
    <w:rsid w:val="002B0FDE"/>
    <w:rsid w:val="002B2DB6"/>
    <w:rsid w:val="002B3450"/>
    <w:rsid w:val="002B6B04"/>
    <w:rsid w:val="002B7621"/>
    <w:rsid w:val="002D1C7F"/>
    <w:rsid w:val="002D203D"/>
    <w:rsid w:val="002D3251"/>
    <w:rsid w:val="002D41CA"/>
    <w:rsid w:val="002D53AC"/>
    <w:rsid w:val="002E177F"/>
    <w:rsid w:val="002F09B0"/>
    <w:rsid w:val="002F1ED2"/>
    <w:rsid w:val="002F2849"/>
    <w:rsid w:val="002F2EBF"/>
    <w:rsid w:val="002F4863"/>
    <w:rsid w:val="002F5F84"/>
    <w:rsid w:val="00300019"/>
    <w:rsid w:val="00300117"/>
    <w:rsid w:val="0030320E"/>
    <w:rsid w:val="00307851"/>
    <w:rsid w:val="00310321"/>
    <w:rsid w:val="00313A88"/>
    <w:rsid w:val="003140BB"/>
    <w:rsid w:val="003141EB"/>
    <w:rsid w:val="003156D5"/>
    <w:rsid w:val="00320D25"/>
    <w:rsid w:val="00321A81"/>
    <w:rsid w:val="00323867"/>
    <w:rsid w:val="00327342"/>
    <w:rsid w:val="0033057F"/>
    <w:rsid w:val="00332BE3"/>
    <w:rsid w:val="00334C35"/>
    <w:rsid w:val="00334C4B"/>
    <w:rsid w:val="00334E37"/>
    <w:rsid w:val="00340FB7"/>
    <w:rsid w:val="00344092"/>
    <w:rsid w:val="0034473A"/>
    <w:rsid w:val="00344B61"/>
    <w:rsid w:val="0034593B"/>
    <w:rsid w:val="00346C4B"/>
    <w:rsid w:val="00347A42"/>
    <w:rsid w:val="00347D0E"/>
    <w:rsid w:val="003510F0"/>
    <w:rsid w:val="0035509E"/>
    <w:rsid w:val="00355183"/>
    <w:rsid w:val="0035566B"/>
    <w:rsid w:val="00363ADD"/>
    <w:rsid w:val="00367287"/>
    <w:rsid w:val="00367400"/>
    <w:rsid w:val="00367E1F"/>
    <w:rsid w:val="00371FC1"/>
    <w:rsid w:val="00371FE7"/>
    <w:rsid w:val="00374839"/>
    <w:rsid w:val="00374A0C"/>
    <w:rsid w:val="003764F5"/>
    <w:rsid w:val="0037729E"/>
    <w:rsid w:val="00377A3B"/>
    <w:rsid w:val="00382E95"/>
    <w:rsid w:val="00383E62"/>
    <w:rsid w:val="00384E69"/>
    <w:rsid w:val="00386F60"/>
    <w:rsid w:val="00390D27"/>
    <w:rsid w:val="00391E4B"/>
    <w:rsid w:val="003955B3"/>
    <w:rsid w:val="003A08A3"/>
    <w:rsid w:val="003A0B20"/>
    <w:rsid w:val="003A26CF"/>
    <w:rsid w:val="003A3433"/>
    <w:rsid w:val="003A3937"/>
    <w:rsid w:val="003A49FA"/>
    <w:rsid w:val="003A5257"/>
    <w:rsid w:val="003A66F8"/>
    <w:rsid w:val="003A7534"/>
    <w:rsid w:val="003B43F2"/>
    <w:rsid w:val="003B46AD"/>
    <w:rsid w:val="003C10FE"/>
    <w:rsid w:val="003C185E"/>
    <w:rsid w:val="003C1DCD"/>
    <w:rsid w:val="003C3206"/>
    <w:rsid w:val="003C55EC"/>
    <w:rsid w:val="003C5650"/>
    <w:rsid w:val="003C5BD3"/>
    <w:rsid w:val="003C7D90"/>
    <w:rsid w:val="003D2CC8"/>
    <w:rsid w:val="003D30E0"/>
    <w:rsid w:val="003D529E"/>
    <w:rsid w:val="003D549D"/>
    <w:rsid w:val="003D5620"/>
    <w:rsid w:val="003D5AC1"/>
    <w:rsid w:val="003E168B"/>
    <w:rsid w:val="003E287C"/>
    <w:rsid w:val="003E3103"/>
    <w:rsid w:val="003E48EA"/>
    <w:rsid w:val="003E5B08"/>
    <w:rsid w:val="003E7097"/>
    <w:rsid w:val="003F0700"/>
    <w:rsid w:val="003F16A9"/>
    <w:rsid w:val="003F3746"/>
    <w:rsid w:val="003F3CDE"/>
    <w:rsid w:val="00401E76"/>
    <w:rsid w:val="00401FC2"/>
    <w:rsid w:val="004022F4"/>
    <w:rsid w:val="00402685"/>
    <w:rsid w:val="00405366"/>
    <w:rsid w:val="004061A5"/>
    <w:rsid w:val="0040688C"/>
    <w:rsid w:val="00407668"/>
    <w:rsid w:val="00411035"/>
    <w:rsid w:val="0041120A"/>
    <w:rsid w:val="00414610"/>
    <w:rsid w:val="00415A05"/>
    <w:rsid w:val="00415D95"/>
    <w:rsid w:val="00416750"/>
    <w:rsid w:val="00416FA7"/>
    <w:rsid w:val="00417837"/>
    <w:rsid w:val="00417A88"/>
    <w:rsid w:val="00420AC9"/>
    <w:rsid w:val="004235A8"/>
    <w:rsid w:val="00424444"/>
    <w:rsid w:val="00425C93"/>
    <w:rsid w:val="00432AA2"/>
    <w:rsid w:val="00441999"/>
    <w:rsid w:val="00441D46"/>
    <w:rsid w:val="00442131"/>
    <w:rsid w:val="004441B9"/>
    <w:rsid w:val="0044546B"/>
    <w:rsid w:val="00445B83"/>
    <w:rsid w:val="00447BD2"/>
    <w:rsid w:val="00450689"/>
    <w:rsid w:val="00451677"/>
    <w:rsid w:val="00454A25"/>
    <w:rsid w:val="00455086"/>
    <w:rsid w:val="0045774C"/>
    <w:rsid w:val="00457A09"/>
    <w:rsid w:val="00461457"/>
    <w:rsid w:val="00461758"/>
    <w:rsid w:val="00464737"/>
    <w:rsid w:val="00466F10"/>
    <w:rsid w:val="00470426"/>
    <w:rsid w:val="004706B1"/>
    <w:rsid w:val="004719D0"/>
    <w:rsid w:val="004725E1"/>
    <w:rsid w:val="004760CD"/>
    <w:rsid w:val="0047641F"/>
    <w:rsid w:val="0048050F"/>
    <w:rsid w:val="00482BB5"/>
    <w:rsid w:val="00482C59"/>
    <w:rsid w:val="0048528A"/>
    <w:rsid w:val="00485F2C"/>
    <w:rsid w:val="004874D1"/>
    <w:rsid w:val="004904E1"/>
    <w:rsid w:val="00490683"/>
    <w:rsid w:val="00490C34"/>
    <w:rsid w:val="00492EDC"/>
    <w:rsid w:val="0049312D"/>
    <w:rsid w:val="004A0E1D"/>
    <w:rsid w:val="004A1B88"/>
    <w:rsid w:val="004A2BD7"/>
    <w:rsid w:val="004A3BDA"/>
    <w:rsid w:val="004A4CE6"/>
    <w:rsid w:val="004A5B6A"/>
    <w:rsid w:val="004A5C32"/>
    <w:rsid w:val="004B0A50"/>
    <w:rsid w:val="004B0B12"/>
    <w:rsid w:val="004B2050"/>
    <w:rsid w:val="004B2D58"/>
    <w:rsid w:val="004B31B0"/>
    <w:rsid w:val="004B3658"/>
    <w:rsid w:val="004B5D76"/>
    <w:rsid w:val="004C0333"/>
    <w:rsid w:val="004C1AFE"/>
    <w:rsid w:val="004C1E68"/>
    <w:rsid w:val="004C43D5"/>
    <w:rsid w:val="004C4C6B"/>
    <w:rsid w:val="004C5B2B"/>
    <w:rsid w:val="004C6211"/>
    <w:rsid w:val="004D072A"/>
    <w:rsid w:val="004D4CC0"/>
    <w:rsid w:val="004D6DF5"/>
    <w:rsid w:val="004D767D"/>
    <w:rsid w:val="004D7E34"/>
    <w:rsid w:val="004E0D05"/>
    <w:rsid w:val="004E0F10"/>
    <w:rsid w:val="004E62A0"/>
    <w:rsid w:val="004E7912"/>
    <w:rsid w:val="004F0C45"/>
    <w:rsid w:val="004F15D7"/>
    <w:rsid w:val="004F23D4"/>
    <w:rsid w:val="004F6705"/>
    <w:rsid w:val="004F6D13"/>
    <w:rsid w:val="00501F50"/>
    <w:rsid w:val="00502E30"/>
    <w:rsid w:val="00503194"/>
    <w:rsid w:val="00503E19"/>
    <w:rsid w:val="00506FCB"/>
    <w:rsid w:val="0050768A"/>
    <w:rsid w:val="00510C94"/>
    <w:rsid w:val="00512171"/>
    <w:rsid w:val="00513A3A"/>
    <w:rsid w:val="005161E9"/>
    <w:rsid w:val="0052010E"/>
    <w:rsid w:val="005231C0"/>
    <w:rsid w:val="005236F9"/>
    <w:rsid w:val="00525439"/>
    <w:rsid w:val="00525BB0"/>
    <w:rsid w:val="005262A3"/>
    <w:rsid w:val="00530399"/>
    <w:rsid w:val="00531319"/>
    <w:rsid w:val="005374C3"/>
    <w:rsid w:val="00537545"/>
    <w:rsid w:val="005418D1"/>
    <w:rsid w:val="005431AF"/>
    <w:rsid w:val="00544D4B"/>
    <w:rsid w:val="00545F73"/>
    <w:rsid w:val="00553D13"/>
    <w:rsid w:val="005541FF"/>
    <w:rsid w:val="00555383"/>
    <w:rsid w:val="00560D7F"/>
    <w:rsid w:val="00560FE8"/>
    <w:rsid w:val="00561317"/>
    <w:rsid w:val="00561323"/>
    <w:rsid w:val="005631BB"/>
    <w:rsid w:val="00565F08"/>
    <w:rsid w:val="00566822"/>
    <w:rsid w:val="00570D28"/>
    <w:rsid w:val="0057130B"/>
    <w:rsid w:val="005723F8"/>
    <w:rsid w:val="005736A0"/>
    <w:rsid w:val="00580378"/>
    <w:rsid w:val="0058047B"/>
    <w:rsid w:val="00581CE8"/>
    <w:rsid w:val="0058237D"/>
    <w:rsid w:val="00582CAC"/>
    <w:rsid w:val="00583310"/>
    <w:rsid w:val="00585D8D"/>
    <w:rsid w:val="00586190"/>
    <w:rsid w:val="00592AD9"/>
    <w:rsid w:val="00593ED3"/>
    <w:rsid w:val="0059600E"/>
    <w:rsid w:val="00596DF0"/>
    <w:rsid w:val="00596F81"/>
    <w:rsid w:val="00597B24"/>
    <w:rsid w:val="005A0B6C"/>
    <w:rsid w:val="005A1089"/>
    <w:rsid w:val="005A580E"/>
    <w:rsid w:val="005A6C16"/>
    <w:rsid w:val="005A7C8A"/>
    <w:rsid w:val="005B1688"/>
    <w:rsid w:val="005B295E"/>
    <w:rsid w:val="005B2F16"/>
    <w:rsid w:val="005B6553"/>
    <w:rsid w:val="005B7C11"/>
    <w:rsid w:val="005C26D9"/>
    <w:rsid w:val="005C2BD3"/>
    <w:rsid w:val="005C3255"/>
    <w:rsid w:val="005C408C"/>
    <w:rsid w:val="005C4A2E"/>
    <w:rsid w:val="005C4C90"/>
    <w:rsid w:val="005C52DD"/>
    <w:rsid w:val="005C53CA"/>
    <w:rsid w:val="005C6155"/>
    <w:rsid w:val="005C758F"/>
    <w:rsid w:val="005D0A18"/>
    <w:rsid w:val="005D0A5F"/>
    <w:rsid w:val="005D2B5A"/>
    <w:rsid w:val="005D3CF6"/>
    <w:rsid w:val="005D41B5"/>
    <w:rsid w:val="005D4E6F"/>
    <w:rsid w:val="005D5BD0"/>
    <w:rsid w:val="005E0784"/>
    <w:rsid w:val="005E1165"/>
    <w:rsid w:val="005E188F"/>
    <w:rsid w:val="005E4624"/>
    <w:rsid w:val="005E69FA"/>
    <w:rsid w:val="005E7389"/>
    <w:rsid w:val="005F130E"/>
    <w:rsid w:val="005F1D19"/>
    <w:rsid w:val="005F2B7B"/>
    <w:rsid w:val="005F330C"/>
    <w:rsid w:val="005F3EC0"/>
    <w:rsid w:val="006002C2"/>
    <w:rsid w:val="00603DD4"/>
    <w:rsid w:val="0060518B"/>
    <w:rsid w:val="0060575E"/>
    <w:rsid w:val="00606CF5"/>
    <w:rsid w:val="006104E0"/>
    <w:rsid w:val="00611B19"/>
    <w:rsid w:val="00612770"/>
    <w:rsid w:val="0061285A"/>
    <w:rsid w:val="00613F1B"/>
    <w:rsid w:val="006153FE"/>
    <w:rsid w:val="00615E0C"/>
    <w:rsid w:val="00621D74"/>
    <w:rsid w:val="00622271"/>
    <w:rsid w:val="00624E8D"/>
    <w:rsid w:val="0063086E"/>
    <w:rsid w:val="00630963"/>
    <w:rsid w:val="00632B4A"/>
    <w:rsid w:val="00641BCF"/>
    <w:rsid w:val="00643BDB"/>
    <w:rsid w:val="00646CD7"/>
    <w:rsid w:val="00656898"/>
    <w:rsid w:val="00657688"/>
    <w:rsid w:val="006576FA"/>
    <w:rsid w:val="00657E72"/>
    <w:rsid w:val="00664C7A"/>
    <w:rsid w:val="00665CBC"/>
    <w:rsid w:val="00665D12"/>
    <w:rsid w:val="00667334"/>
    <w:rsid w:val="00672119"/>
    <w:rsid w:val="0067354A"/>
    <w:rsid w:val="00674298"/>
    <w:rsid w:val="0067532F"/>
    <w:rsid w:val="00677591"/>
    <w:rsid w:val="006829C6"/>
    <w:rsid w:val="006829D7"/>
    <w:rsid w:val="006840B1"/>
    <w:rsid w:val="00685F30"/>
    <w:rsid w:val="00686608"/>
    <w:rsid w:val="00687506"/>
    <w:rsid w:val="00687C42"/>
    <w:rsid w:val="00690BC4"/>
    <w:rsid w:val="006927AB"/>
    <w:rsid w:val="00694597"/>
    <w:rsid w:val="006946DC"/>
    <w:rsid w:val="0069524F"/>
    <w:rsid w:val="006971BB"/>
    <w:rsid w:val="00697A01"/>
    <w:rsid w:val="006A014A"/>
    <w:rsid w:val="006A0426"/>
    <w:rsid w:val="006A0B10"/>
    <w:rsid w:val="006A1865"/>
    <w:rsid w:val="006A2636"/>
    <w:rsid w:val="006A5EAE"/>
    <w:rsid w:val="006A7F85"/>
    <w:rsid w:val="006B77EC"/>
    <w:rsid w:val="006C2295"/>
    <w:rsid w:val="006C24E3"/>
    <w:rsid w:val="006C4C5C"/>
    <w:rsid w:val="006C56F0"/>
    <w:rsid w:val="006D052A"/>
    <w:rsid w:val="006D0941"/>
    <w:rsid w:val="006D1138"/>
    <w:rsid w:val="006D15A1"/>
    <w:rsid w:val="006D1949"/>
    <w:rsid w:val="006D4CB4"/>
    <w:rsid w:val="006D687B"/>
    <w:rsid w:val="006E43E1"/>
    <w:rsid w:val="006E490A"/>
    <w:rsid w:val="006E504A"/>
    <w:rsid w:val="006E5C2D"/>
    <w:rsid w:val="006E63EF"/>
    <w:rsid w:val="006F01FF"/>
    <w:rsid w:val="006F0698"/>
    <w:rsid w:val="006F2407"/>
    <w:rsid w:val="006F30B6"/>
    <w:rsid w:val="006F35CC"/>
    <w:rsid w:val="006F3ADC"/>
    <w:rsid w:val="006F444A"/>
    <w:rsid w:val="006F62A7"/>
    <w:rsid w:val="006F6ABE"/>
    <w:rsid w:val="006F77F8"/>
    <w:rsid w:val="00700E56"/>
    <w:rsid w:val="0070406E"/>
    <w:rsid w:val="00704297"/>
    <w:rsid w:val="007043D1"/>
    <w:rsid w:val="00704E9F"/>
    <w:rsid w:val="007076BB"/>
    <w:rsid w:val="00707CF6"/>
    <w:rsid w:val="0071090C"/>
    <w:rsid w:val="0071288D"/>
    <w:rsid w:val="00713164"/>
    <w:rsid w:val="00716729"/>
    <w:rsid w:val="007201AD"/>
    <w:rsid w:val="00720EB4"/>
    <w:rsid w:val="00722568"/>
    <w:rsid w:val="00724CA7"/>
    <w:rsid w:val="007258C0"/>
    <w:rsid w:val="00725D07"/>
    <w:rsid w:val="007269ED"/>
    <w:rsid w:val="00727BE1"/>
    <w:rsid w:val="00731208"/>
    <w:rsid w:val="007327D6"/>
    <w:rsid w:val="00732873"/>
    <w:rsid w:val="00733501"/>
    <w:rsid w:val="007345B5"/>
    <w:rsid w:val="00736351"/>
    <w:rsid w:val="00737EAA"/>
    <w:rsid w:val="007456E6"/>
    <w:rsid w:val="007522D4"/>
    <w:rsid w:val="00752523"/>
    <w:rsid w:val="00753A5D"/>
    <w:rsid w:val="0075558E"/>
    <w:rsid w:val="00755836"/>
    <w:rsid w:val="00757C62"/>
    <w:rsid w:val="007604BA"/>
    <w:rsid w:val="007609FC"/>
    <w:rsid w:val="0076237E"/>
    <w:rsid w:val="00764DE5"/>
    <w:rsid w:val="00765088"/>
    <w:rsid w:val="007704CE"/>
    <w:rsid w:val="007708F3"/>
    <w:rsid w:val="00771C04"/>
    <w:rsid w:val="007721E4"/>
    <w:rsid w:val="00772F7C"/>
    <w:rsid w:val="0078204A"/>
    <w:rsid w:val="0078234A"/>
    <w:rsid w:val="00784C70"/>
    <w:rsid w:val="0078504B"/>
    <w:rsid w:val="007860D2"/>
    <w:rsid w:val="00786E9D"/>
    <w:rsid w:val="00787567"/>
    <w:rsid w:val="00787707"/>
    <w:rsid w:val="0079041A"/>
    <w:rsid w:val="00790D10"/>
    <w:rsid w:val="00792475"/>
    <w:rsid w:val="00792FB1"/>
    <w:rsid w:val="007936FD"/>
    <w:rsid w:val="00794E57"/>
    <w:rsid w:val="007952A6"/>
    <w:rsid w:val="007959D5"/>
    <w:rsid w:val="007963EB"/>
    <w:rsid w:val="007A0D7D"/>
    <w:rsid w:val="007A1659"/>
    <w:rsid w:val="007A2432"/>
    <w:rsid w:val="007A54A3"/>
    <w:rsid w:val="007A68CA"/>
    <w:rsid w:val="007A7E71"/>
    <w:rsid w:val="007B3EEB"/>
    <w:rsid w:val="007B445D"/>
    <w:rsid w:val="007B5951"/>
    <w:rsid w:val="007C0A9C"/>
    <w:rsid w:val="007C0FB3"/>
    <w:rsid w:val="007C19E4"/>
    <w:rsid w:val="007C2802"/>
    <w:rsid w:val="007C29AD"/>
    <w:rsid w:val="007C4322"/>
    <w:rsid w:val="007C4BE6"/>
    <w:rsid w:val="007C5A4D"/>
    <w:rsid w:val="007C5FE2"/>
    <w:rsid w:val="007C6C39"/>
    <w:rsid w:val="007C7A70"/>
    <w:rsid w:val="007D0407"/>
    <w:rsid w:val="007D0BB5"/>
    <w:rsid w:val="007D2633"/>
    <w:rsid w:val="007D2E3E"/>
    <w:rsid w:val="007D4372"/>
    <w:rsid w:val="007D4497"/>
    <w:rsid w:val="007D5C93"/>
    <w:rsid w:val="007D7C7F"/>
    <w:rsid w:val="007E0471"/>
    <w:rsid w:val="007E1628"/>
    <w:rsid w:val="007E1659"/>
    <w:rsid w:val="007E16DA"/>
    <w:rsid w:val="007E5F73"/>
    <w:rsid w:val="007E672F"/>
    <w:rsid w:val="007E7475"/>
    <w:rsid w:val="007F0D72"/>
    <w:rsid w:val="007F16AD"/>
    <w:rsid w:val="007F22EF"/>
    <w:rsid w:val="007F24F8"/>
    <w:rsid w:val="007F27DF"/>
    <w:rsid w:val="007F348A"/>
    <w:rsid w:val="007F7965"/>
    <w:rsid w:val="007F798A"/>
    <w:rsid w:val="007F7DDB"/>
    <w:rsid w:val="008000CF"/>
    <w:rsid w:val="008002DC"/>
    <w:rsid w:val="00800493"/>
    <w:rsid w:val="00801E04"/>
    <w:rsid w:val="0080289D"/>
    <w:rsid w:val="00802FB7"/>
    <w:rsid w:val="008034C0"/>
    <w:rsid w:val="008063B7"/>
    <w:rsid w:val="008077BA"/>
    <w:rsid w:val="00807B7A"/>
    <w:rsid w:val="008106CE"/>
    <w:rsid w:val="0081241B"/>
    <w:rsid w:val="008135F5"/>
    <w:rsid w:val="008139EF"/>
    <w:rsid w:val="00814240"/>
    <w:rsid w:val="008162A2"/>
    <w:rsid w:val="008179B7"/>
    <w:rsid w:val="008200CA"/>
    <w:rsid w:val="008244C0"/>
    <w:rsid w:val="00825B2A"/>
    <w:rsid w:val="00826783"/>
    <w:rsid w:val="00827467"/>
    <w:rsid w:val="0083052B"/>
    <w:rsid w:val="00832716"/>
    <w:rsid w:val="008343A5"/>
    <w:rsid w:val="0083538E"/>
    <w:rsid w:val="0083543A"/>
    <w:rsid w:val="00841151"/>
    <w:rsid w:val="00842FBC"/>
    <w:rsid w:val="00846EF6"/>
    <w:rsid w:val="008477B2"/>
    <w:rsid w:val="00853F00"/>
    <w:rsid w:val="00854B87"/>
    <w:rsid w:val="00860455"/>
    <w:rsid w:val="008605F7"/>
    <w:rsid w:val="0086178B"/>
    <w:rsid w:val="00861AAC"/>
    <w:rsid w:val="008661B6"/>
    <w:rsid w:val="008671E6"/>
    <w:rsid w:val="00867EB4"/>
    <w:rsid w:val="00870552"/>
    <w:rsid w:val="00873282"/>
    <w:rsid w:val="00874A63"/>
    <w:rsid w:val="00881B61"/>
    <w:rsid w:val="00881E68"/>
    <w:rsid w:val="00882B32"/>
    <w:rsid w:val="00885035"/>
    <w:rsid w:val="00886809"/>
    <w:rsid w:val="0089001E"/>
    <w:rsid w:val="008935E9"/>
    <w:rsid w:val="00894086"/>
    <w:rsid w:val="00895898"/>
    <w:rsid w:val="00895FFB"/>
    <w:rsid w:val="00897D87"/>
    <w:rsid w:val="008A238F"/>
    <w:rsid w:val="008A2A17"/>
    <w:rsid w:val="008A6E6E"/>
    <w:rsid w:val="008B071F"/>
    <w:rsid w:val="008B1609"/>
    <w:rsid w:val="008B1E32"/>
    <w:rsid w:val="008B2ECB"/>
    <w:rsid w:val="008B5DE9"/>
    <w:rsid w:val="008B7AC3"/>
    <w:rsid w:val="008C07A0"/>
    <w:rsid w:val="008C3344"/>
    <w:rsid w:val="008C41A1"/>
    <w:rsid w:val="008C4F43"/>
    <w:rsid w:val="008C4FAB"/>
    <w:rsid w:val="008D05CE"/>
    <w:rsid w:val="008D12E5"/>
    <w:rsid w:val="008D37DC"/>
    <w:rsid w:val="008D392F"/>
    <w:rsid w:val="008D5737"/>
    <w:rsid w:val="008E161A"/>
    <w:rsid w:val="008E2118"/>
    <w:rsid w:val="008E22C9"/>
    <w:rsid w:val="008E4A2C"/>
    <w:rsid w:val="008E69D4"/>
    <w:rsid w:val="008E70EC"/>
    <w:rsid w:val="008F0FBB"/>
    <w:rsid w:val="008F1900"/>
    <w:rsid w:val="008F660E"/>
    <w:rsid w:val="008F68CB"/>
    <w:rsid w:val="008F6A50"/>
    <w:rsid w:val="008F7D61"/>
    <w:rsid w:val="0090090B"/>
    <w:rsid w:val="0090099E"/>
    <w:rsid w:val="00902F43"/>
    <w:rsid w:val="0090368E"/>
    <w:rsid w:val="0090564D"/>
    <w:rsid w:val="00905C04"/>
    <w:rsid w:val="0090669C"/>
    <w:rsid w:val="00910BCE"/>
    <w:rsid w:val="0091455C"/>
    <w:rsid w:val="009155BE"/>
    <w:rsid w:val="00915795"/>
    <w:rsid w:val="00915863"/>
    <w:rsid w:val="0091620E"/>
    <w:rsid w:val="00916E3B"/>
    <w:rsid w:val="00916E72"/>
    <w:rsid w:val="009205C2"/>
    <w:rsid w:val="00922329"/>
    <w:rsid w:val="00925371"/>
    <w:rsid w:val="00930D06"/>
    <w:rsid w:val="00931CDC"/>
    <w:rsid w:val="009338B8"/>
    <w:rsid w:val="00933BA0"/>
    <w:rsid w:val="00933CF9"/>
    <w:rsid w:val="009340F6"/>
    <w:rsid w:val="0093494D"/>
    <w:rsid w:val="00935769"/>
    <w:rsid w:val="009407F0"/>
    <w:rsid w:val="00943534"/>
    <w:rsid w:val="00943C1C"/>
    <w:rsid w:val="00944064"/>
    <w:rsid w:val="009441BA"/>
    <w:rsid w:val="00945DD4"/>
    <w:rsid w:val="009464F7"/>
    <w:rsid w:val="009524B6"/>
    <w:rsid w:val="0095285E"/>
    <w:rsid w:val="009559FE"/>
    <w:rsid w:val="0096080B"/>
    <w:rsid w:val="00962560"/>
    <w:rsid w:val="00963259"/>
    <w:rsid w:val="00963FE4"/>
    <w:rsid w:val="00964290"/>
    <w:rsid w:val="00964FE8"/>
    <w:rsid w:val="009668F5"/>
    <w:rsid w:val="0096737F"/>
    <w:rsid w:val="00967BD7"/>
    <w:rsid w:val="009711E7"/>
    <w:rsid w:val="009715D6"/>
    <w:rsid w:val="0097273C"/>
    <w:rsid w:val="009740CE"/>
    <w:rsid w:val="009772A8"/>
    <w:rsid w:val="0097780A"/>
    <w:rsid w:val="00983276"/>
    <w:rsid w:val="009859F1"/>
    <w:rsid w:val="009872B8"/>
    <w:rsid w:val="00987D70"/>
    <w:rsid w:val="00991640"/>
    <w:rsid w:val="00992C55"/>
    <w:rsid w:val="009949C4"/>
    <w:rsid w:val="00997049"/>
    <w:rsid w:val="009A146E"/>
    <w:rsid w:val="009A39F7"/>
    <w:rsid w:val="009A5354"/>
    <w:rsid w:val="009A5B71"/>
    <w:rsid w:val="009B1330"/>
    <w:rsid w:val="009B2C91"/>
    <w:rsid w:val="009B3FC9"/>
    <w:rsid w:val="009B603D"/>
    <w:rsid w:val="009C5457"/>
    <w:rsid w:val="009D0B61"/>
    <w:rsid w:val="009D29C0"/>
    <w:rsid w:val="009D313D"/>
    <w:rsid w:val="009D345A"/>
    <w:rsid w:val="009D4646"/>
    <w:rsid w:val="009E048B"/>
    <w:rsid w:val="009E06CC"/>
    <w:rsid w:val="009E260A"/>
    <w:rsid w:val="009E445F"/>
    <w:rsid w:val="009E46EE"/>
    <w:rsid w:val="009E4BEE"/>
    <w:rsid w:val="009E5B7F"/>
    <w:rsid w:val="009E602F"/>
    <w:rsid w:val="009F4DB3"/>
    <w:rsid w:val="009F553C"/>
    <w:rsid w:val="009F5E36"/>
    <w:rsid w:val="009F771C"/>
    <w:rsid w:val="009F7F4C"/>
    <w:rsid w:val="00A00EE6"/>
    <w:rsid w:val="00A0126E"/>
    <w:rsid w:val="00A01F5A"/>
    <w:rsid w:val="00A0227D"/>
    <w:rsid w:val="00A05FBF"/>
    <w:rsid w:val="00A06544"/>
    <w:rsid w:val="00A067A7"/>
    <w:rsid w:val="00A0754F"/>
    <w:rsid w:val="00A139BB"/>
    <w:rsid w:val="00A14565"/>
    <w:rsid w:val="00A160DF"/>
    <w:rsid w:val="00A20909"/>
    <w:rsid w:val="00A23AF4"/>
    <w:rsid w:val="00A2436B"/>
    <w:rsid w:val="00A30A9F"/>
    <w:rsid w:val="00A30CCE"/>
    <w:rsid w:val="00A31FA5"/>
    <w:rsid w:val="00A334C7"/>
    <w:rsid w:val="00A35301"/>
    <w:rsid w:val="00A3736A"/>
    <w:rsid w:val="00A373B0"/>
    <w:rsid w:val="00A37DC8"/>
    <w:rsid w:val="00A464A2"/>
    <w:rsid w:val="00A46A96"/>
    <w:rsid w:val="00A47F07"/>
    <w:rsid w:val="00A50729"/>
    <w:rsid w:val="00A519B8"/>
    <w:rsid w:val="00A52E70"/>
    <w:rsid w:val="00A5314E"/>
    <w:rsid w:val="00A5683C"/>
    <w:rsid w:val="00A56988"/>
    <w:rsid w:val="00A570CF"/>
    <w:rsid w:val="00A60851"/>
    <w:rsid w:val="00A633FE"/>
    <w:rsid w:val="00A6358B"/>
    <w:rsid w:val="00A63E1E"/>
    <w:rsid w:val="00A653A7"/>
    <w:rsid w:val="00A653F0"/>
    <w:rsid w:val="00A6635D"/>
    <w:rsid w:val="00A70A93"/>
    <w:rsid w:val="00A731EA"/>
    <w:rsid w:val="00A76E10"/>
    <w:rsid w:val="00A80AA0"/>
    <w:rsid w:val="00A8461E"/>
    <w:rsid w:val="00A8471B"/>
    <w:rsid w:val="00A856C7"/>
    <w:rsid w:val="00A92ACC"/>
    <w:rsid w:val="00A94A21"/>
    <w:rsid w:val="00A94A5E"/>
    <w:rsid w:val="00A94E95"/>
    <w:rsid w:val="00A954D2"/>
    <w:rsid w:val="00A96277"/>
    <w:rsid w:val="00A96AA4"/>
    <w:rsid w:val="00A97209"/>
    <w:rsid w:val="00A976E4"/>
    <w:rsid w:val="00A97CFB"/>
    <w:rsid w:val="00AA258A"/>
    <w:rsid w:val="00AA4584"/>
    <w:rsid w:val="00AA51C3"/>
    <w:rsid w:val="00AA67B8"/>
    <w:rsid w:val="00AA6AE3"/>
    <w:rsid w:val="00AA6C5B"/>
    <w:rsid w:val="00AA7F20"/>
    <w:rsid w:val="00AB00D7"/>
    <w:rsid w:val="00AB21BC"/>
    <w:rsid w:val="00AB3246"/>
    <w:rsid w:val="00AC10A3"/>
    <w:rsid w:val="00AC3681"/>
    <w:rsid w:val="00AD0990"/>
    <w:rsid w:val="00AD1702"/>
    <w:rsid w:val="00AD2622"/>
    <w:rsid w:val="00AD2C96"/>
    <w:rsid w:val="00AD6593"/>
    <w:rsid w:val="00AD699D"/>
    <w:rsid w:val="00AD71B0"/>
    <w:rsid w:val="00AE0B15"/>
    <w:rsid w:val="00AE294D"/>
    <w:rsid w:val="00AE415C"/>
    <w:rsid w:val="00AF4084"/>
    <w:rsid w:val="00AF5DD5"/>
    <w:rsid w:val="00AF7950"/>
    <w:rsid w:val="00B01021"/>
    <w:rsid w:val="00B01548"/>
    <w:rsid w:val="00B0159C"/>
    <w:rsid w:val="00B016CE"/>
    <w:rsid w:val="00B018BC"/>
    <w:rsid w:val="00B042D7"/>
    <w:rsid w:val="00B04A18"/>
    <w:rsid w:val="00B0772F"/>
    <w:rsid w:val="00B07C23"/>
    <w:rsid w:val="00B07EC7"/>
    <w:rsid w:val="00B10576"/>
    <w:rsid w:val="00B10C75"/>
    <w:rsid w:val="00B10DC6"/>
    <w:rsid w:val="00B145D2"/>
    <w:rsid w:val="00B155AC"/>
    <w:rsid w:val="00B16271"/>
    <w:rsid w:val="00B16EC8"/>
    <w:rsid w:val="00B16F08"/>
    <w:rsid w:val="00B20793"/>
    <w:rsid w:val="00B21C4B"/>
    <w:rsid w:val="00B2365A"/>
    <w:rsid w:val="00B248AC"/>
    <w:rsid w:val="00B25AC2"/>
    <w:rsid w:val="00B25DE6"/>
    <w:rsid w:val="00B327CB"/>
    <w:rsid w:val="00B33439"/>
    <w:rsid w:val="00B34C5E"/>
    <w:rsid w:val="00B35626"/>
    <w:rsid w:val="00B36BD6"/>
    <w:rsid w:val="00B42B1F"/>
    <w:rsid w:val="00B42CC9"/>
    <w:rsid w:val="00B43F6F"/>
    <w:rsid w:val="00B51DEB"/>
    <w:rsid w:val="00B52507"/>
    <w:rsid w:val="00B52ED3"/>
    <w:rsid w:val="00B57E4F"/>
    <w:rsid w:val="00B57FEA"/>
    <w:rsid w:val="00B61B8C"/>
    <w:rsid w:val="00B651AB"/>
    <w:rsid w:val="00B66239"/>
    <w:rsid w:val="00B66DB9"/>
    <w:rsid w:val="00B6719F"/>
    <w:rsid w:val="00B7069C"/>
    <w:rsid w:val="00B73C94"/>
    <w:rsid w:val="00B7461F"/>
    <w:rsid w:val="00B76078"/>
    <w:rsid w:val="00B763FD"/>
    <w:rsid w:val="00B76BC8"/>
    <w:rsid w:val="00B76FFD"/>
    <w:rsid w:val="00B7718A"/>
    <w:rsid w:val="00B77DFA"/>
    <w:rsid w:val="00B77F25"/>
    <w:rsid w:val="00B813A4"/>
    <w:rsid w:val="00B904C6"/>
    <w:rsid w:val="00B915A3"/>
    <w:rsid w:val="00B945F0"/>
    <w:rsid w:val="00B9568C"/>
    <w:rsid w:val="00B96D27"/>
    <w:rsid w:val="00B972FF"/>
    <w:rsid w:val="00B979AB"/>
    <w:rsid w:val="00BA31FC"/>
    <w:rsid w:val="00BA3C0B"/>
    <w:rsid w:val="00BA4B87"/>
    <w:rsid w:val="00BB2C37"/>
    <w:rsid w:val="00BB5E9A"/>
    <w:rsid w:val="00BC158D"/>
    <w:rsid w:val="00BC20C7"/>
    <w:rsid w:val="00BC27B5"/>
    <w:rsid w:val="00BC497D"/>
    <w:rsid w:val="00BC513F"/>
    <w:rsid w:val="00BC52D1"/>
    <w:rsid w:val="00BC53DF"/>
    <w:rsid w:val="00BC70C7"/>
    <w:rsid w:val="00BD06B7"/>
    <w:rsid w:val="00BD12B1"/>
    <w:rsid w:val="00BD21E8"/>
    <w:rsid w:val="00BD2FFC"/>
    <w:rsid w:val="00BD3AA8"/>
    <w:rsid w:val="00BE061B"/>
    <w:rsid w:val="00BE06E6"/>
    <w:rsid w:val="00BE0725"/>
    <w:rsid w:val="00BE3510"/>
    <w:rsid w:val="00BE79E6"/>
    <w:rsid w:val="00BF08FD"/>
    <w:rsid w:val="00BF2CA3"/>
    <w:rsid w:val="00BF35AC"/>
    <w:rsid w:val="00BF4229"/>
    <w:rsid w:val="00BF45AF"/>
    <w:rsid w:val="00C03234"/>
    <w:rsid w:val="00C03637"/>
    <w:rsid w:val="00C041CF"/>
    <w:rsid w:val="00C06151"/>
    <w:rsid w:val="00C0620A"/>
    <w:rsid w:val="00C06455"/>
    <w:rsid w:val="00C067C5"/>
    <w:rsid w:val="00C07BE6"/>
    <w:rsid w:val="00C1037C"/>
    <w:rsid w:val="00C10865"/>
    <w:rsid w:val="00C1170E"/>
    <w:rsid w:val="00C146F2"/>
    <w:rsid w:val="00C16E96"/>
    <w:rsid w:val="00C1752C"/>
    <w:rsid w:val="00C17E98"/>
    <w:rsid w:val="00C206CD"/>
    <w:rsid w:val="00C20D54"/>
    <w:rsid w:val="00C2182F"/>
    <w:rsid w:val="00C221A3"/>
    <w:rsid w:val="00C249B4"/>
    <w:rsid w:val="00C24CF4"/>
    <w:rsid w:val="00C266DA"/>
    <w:rsid w:val="00C270DC"/>
    <w:rsid w:val="00C30228"/>
    <w:rsid w:val="00C33E61"/>
    <w:rsid w:val="00C33EA2"/>
    <w:rsid w:val="00C3473F"/>
    <w:rsid w:val="00C36BE5"/>
    <w:rsid w:val="00C429A8"/>
    <w:rsid w:val="00C45D42"/>
    <w:rsid w:val="00C46267"/>
    <w:rsid w:val="00C51436"/>
    <w:rsid w:val="00C52502"/>
    <w:rsid w:val="00C52B5F"/>
    <w:rsid w:val="00C53862"/>
    <w:rsid w:val="00C54D24"/>
    <w:rsid w:val="00C554EE"/>
    <w:rsid w:val="00C560FC"/>
    <w:rsid w:val="00C60BE0"/>
    <w:rsid w:val="00C66A49"/>
    <w:rsid w:val="00C66C7B"/>
    <w:rsid w:val="00C66FD4"/>
    <w:rsid w:val="00C7181D"/>
    <w:rsid w:val="00C7548B"/>
    <w:rsid w:val="00C758BE"/>
    <w:rsid w:val="00C776F4"/>
    <w:rsid w:val="00C84136"/>
    <w:rsid w:val="00C860C4"/>
    <w:rsid w:val="00C86473"/>
    <w:rsid w:val="00C867A0"/>
    <w:rsid w:val="00C91D4F"/>
    <w:rsid w:val="00C94E90"/>
    <w:rsid w:val="00C97436"/>
    <w:rsid w:val="00C97490"/>
    <w:rsid w:val="00CA0F22"/>
    <w:rsid w:val="00CA0FB4"/>
    <w:rsid w:val="00CA1F00"/>
    <w:rsid w:val="00CA7380"/>
    <w:rsid w:val="00CB1C08"/>
    <w:rsid w:val="00CB1EC8"/>
    <w:rsid w:val="00CB26BA"/>
    <w:rsid w:val="00CB2F89"/>
    <w:rsid w:val="00CB4C0C"/>
    <w:rsid w:val="00CB5228"/>
    <w:rsid w:val="00CC45C8"/>
    <w:rsid w:val="00CC5CAE"/>
    <w:rsid w:val="00CC6673"/>
    <w:rsid w:val="00CD02BA"/>
    <w:rsid w:val="00CD1711"/>
    <w:rsid w:val="00CD26A7"/>
    <w:rsid w:val="00CD271D"/>
    <w:rsid w:val="00CD4A73"/>
    <w:rsid w:val="00CD5627"/>
    <w:rsid w:val="00CD5ABA"/>
    <w:rsid w:val="00CD5EF8"/>
    <w:rsid w:val="00CD61C7"/>
    <w:rsid w:val="00CD643E"/>
    <w:rsid w:val="00CD7DA5"/>
    <w:rsid w:val="00CE1AF5"/>
    <w:rsid w:val="00CE21F5"/>
    <w:rsid w:val="00CE27B3"/>
    <w:rsid w:val="00CE2CA2"/>
    <w:rsid w:val="00CE4965"/>
    <w:rsid w:val="00CE5B43"/>
    <w:rsid w:val="00CE6124"/>
    <w:rsid w:val="00CF168A"/>
    <w:rsid w:val="00CF302B"/>
    <w:rsid w:val="00CF34A1"/>
    <w:rsid w:val="00CF3DAD"/>
    <w:rsid w:val="00CF46FB"/>
    <w:rsid w:val="00CF7335"/>
    <w:rsid w:val="00D00A73"/>
    <w:rsid w:val="00D01E19"/>
    <w:rsid w:val="00D065FB"/>
    <w:rsid w:val="00D067E4"/>
    <w:rsid w:val="00D076F0"/>
    <w:rsid w:val="00D10559"/>
    <w:rsid w:val="00D10B1A"/>
    <w:rsid w:val="00D11100"/>
    <w:rsid w:val="00D12C6C"/>
    <w:rsid w:val="00D14482"/>
    <w:rsid w:val="00D1499D"/>
    <w:rsid w:val="00D21CB4"/>
    <w:rsid w:val="00D22CAE"/>
    <w:rsid w:val="00D30CC8"/>
    <w:rsid w:val="00D3248B"/>
    <w:rsid w:val="00D37432"/>
    <w:rsid w:val="00D418A2"/>
    <w:rsid w:val="00D41FC2"/>
    <w:rsid w:val="00D43E84"/>
    <w:rsid w:val="00D45890"/>
    <w:rsid w:val="00D45D3A"/>
    <w:rsid w:val="00D46D5D"/>
    <w:rsid w:val="00D50C32"/>
    <w:rsid w:val="00D52F31"/>
    <w:rsid w:val="00D531A8"/>
    <w:rsid w:val="00D55BF0"/>
    <w:rsid w:val="00D561CF"/>
    <w:rsid w:val="00D5772C"/>
    <w:rsid w:val="00D62D41"/>
    <w:rsid w:val="00D67915"/>
    <w:rsid w:val="00D67E3B"/>
    <w:rsid w:val="00D719AB"/>
    <w:rsid w:val="00D719B7"/>
    <w:rsid w:val="00D71E79"/>
    <w:rsid w:val="00D7238B"/>
    <w:rsid w:val="00D72D9B"/>
    <w:rsid w:val="00D731E6"/>
    <w:rsid w:val="00D75000"/>
    <w:rsid w:val="00D77BE5"/>
    <w:rsid w:val="00D8123D"/>
    <w:rsid w:val="00D819CE"/>
    <w:rsid w:val="00D9013F"/>
    <w:rsid w:val="00D90BC9"/>
    <w:rsid w:val="00D91656"/>
    <w:rsid w:val="00D91DCD"/>
    <w:rsid w:val="00D930FE"/>
    <w:rsid w:val="00D93C45"/>
    <w:rsid w:val="00D97F76"/>
    <w:rsid w:val="00DA2529"/>
    <w:rsid w:val="00DA3343"/>
    <w:rsid w:val="00DA3355"/>
    <w:rsid w:val="00DA4425"/>
    <w:rsid w:val="00DA6598"/>
    <w:rsid w:val="00DA7103"/>
    <w:rsid w:val="00DA7AFD"/>
    <w:rsid w:val="00DB0BF9"/>
    <w:rsid w:val="00DB3674"/>
    <w:rsid w:val="00DB4ACB"/>
    <w:rsid w:val="00DB7CF9"/>
    <w:rsid w:val="00DC0EAA"/>
    <w:rsid w:val="00DC252B"/>
    <w:rsid w:val="00DC34E9"/>
    <w:rsid w:val="00DC4CA7"/>
    <w:rsid w:val="00DC5B81"/>
    <w:rsid w:val="00DC6681"/>
    <w:rsid w:val="00DD104E"/>
    <w:rsid w:val="00DD220B"/>
    <w:rsid w:val="00DD29C5"/>
    <w:rsid w:val="00DD2F4C"/>
    <w:rsid w:val="00DD308C"/>
    <w:rsid w:val="00DD3203"/>
    <w:rsid w:val="00DD46E2"/>
    <w:rsid w:val="00DD7358"/>
    <w:rsid w:val="00DD7BCA"/>
    <w:rsid w:val="00DD7F65"/>
    <w:rsid w:val="00DE0F35"/>
    <w:rsid w:val="00DE2E26"/>
    <w:rsid w:val="00DE4B2C"/>
    <w:rsid w:val="00DE5CD5"/>
    <w:rsid w:val="00DE68B1"/>
    <w:rsid w:val="00DF30AE"/>
    <w:rsid w:val="00DF3986"/>
    <w:rsid w:val="00DF50A9"/>
    <w:rsid w:val="00DF7F6C"/>
    <w:rsid w:val="00E0579C"/>
    <w:rsid w:val="00E06DE9"/>
    <w:rsid w:val="00E137EA"/>
    <w:rsid w:val="00E16B33"/>
    <w:rsid w:val="00E17DB2"/>
    <w:rsid w:val="00E21778"/>
    <w:rsid w:val="00E23EB9"/>
    <w:rsid w:val="00E244C2"/>
    <w:rsid w:val="00E3090A"/>
    <w:rsid w:val="00E30B08"/>
    <w:rsid w:val="00E356C5"/>
    <w:rsid w:val="00E379AD"/>
    <w:rsid w:val="00E40BC2"/>
    <w:rsid w:val="00E42DCE"/>
    <w:rsid w:val="00E44868"/>
    <w:rsid w:val="00E44B30"/>
    <w:rsid w:val="00E4553A"/>
    <w:rsid w:val="00E50C5C"/>
    <w:rsid w:val="00E51AD4"/>
    <w:rsid w:val="00E52111"/>
    <w:rsid w:val="00E5326D"/>
    <w:rsid w:val="00E54B41"/>
    <w:rsid w:val="00E54E2D"/>
    <w:rsid w:val="00E555A1"/>
    <w:rsid w:val="00E558F9"/>
    <w:rsid w:val="00E57864"/>
    <w:rsid w:val="00E60B89"/>
    <w:rsid w:val="00E616DD"/>
    <w:rsid w:val="00E62283"/>
    <w:rsid w:val="00E70070"/>
    <w:rsid w:val="00E70F3F"/>
    <w:rsid w:val="00E73094"/>
    <w:rsid w:val="00E74DD6"/>
    <w:rsid w:val="00E75F18"/>
    <w:rsid w:val="00E7669F"/>
    <w:rsid w:val="00E77D20"/>
    <w:rsid w:val="00E77EEC"/>
    <w:rsid w:val="00E817D1"/>
    <w:rsid w:val="00E81F39"/>
    <w:rsid w:val="00E834DE"/>
    <w:rsid w:val="00E848E8"/>
    <w:rsid w:val="00E915A0"/>
    <w:rsid w:val="00E925BC"/>
    <w:rsid w:val="00E9269F"/>
    <w:rsid w:val="00E93E45"/>
    <w:rsid w:val="00E967E7"/>
    <w:rsid w:val="00E97FF0"/>
    <w:rsid w:val="00EA4607"/>
    <w:rsid w:val="00EA6209"/>
    <w:rsid w:val="00EA678B"/>
    <w:rsid w:val="00EA7329"/>
    <w:rsid w:val="00EB0718"/>
    <w:rsid w:val="00EB215F"/>
    <w:rsid w:val="00EB3E00"/>
    <w:rsid w:val="00EB49F2"/>
    <w:rsid w:val="00EB6FCD"/>
    <w:rsid w:val="00EB73C8"/>
    <w:rsid w:val="00EC1791"/>
    <w:rsid w:val="00EC3CD3"/>
    <w:rsid w:val="00EC6C2E"/>
    <w:rsid w:val="00ED15CE"/>
    <w:rsid w:val="00ED21E9"/>
    <w:rsid w:val="00ED2420"/>
    <w:rsid w:val="00ED34A8"/>
    <w:rsid w:val="00ED3519"/>
    <w:rsid w:val="00ED7E6B"/>
    <w:rsid w:val="00ED7F69"/>
    <w:rsid w:val="00ED7FA6"/>
    <w:rsid w:val="00EE0A4D"/>
    <w:rsid w:val="00EE186D"/>
    <w:rsid w:val="00EE4EA2"/>
    <w:rsid w:val="00EE6247"/>
    <w:rsid w:val="00EF0B99"/>
    <w:rsid w:val="00EF2A1F"/>
    <w:rsid w:val="00EF3F00"/>
    <w:rsid w:val="00EF4E7B"/>
    <w:rsid w:val="00EF5811"/>
    <w:rsid w:val="00EF5BC9"/>
    <w:rsid w:val="00EF7A6E"/>
    <w:rsid w:val="00F04F62"/>
    <w:rsid w:val="00F12938"/>
    <w:rsid w:val="00F12C88"/>
    <w:rsid w:val="00F133D4"/>
    <w:rsid w:val="00F139C2"/>
    <w:rsid w:val="00F139E6"/>
    <w:rsid w:val="00F13C7F"/>
    <w:rsid w:val="00F147EA"/>
    <w:rsid w:val="00F16207"/>
    <w:rsid w:val="00F21959"/>
    <w:rsid w:val="00F23036"/>
    <w:rsid w:val="00F266EF"/>
    <w:rsid w:val="00F26B78"/>
    <w:rsid w:val="00F302A9"/>
    <w:rsid w:val="00F30460"/>
    <w:rsid w:val="00F31CFE"/>
    <w:rsid w:val="00F34CCC"/>
    <w:rsid w:val="00F35952"/>
    <w:rsid w:val="00F37BED"/>
    <w:rsid w:val="00F4090F"/>
    <w:rsid w:val="00F43123"/>
    <w:rsid w:val="00F44A71"/>
    <w:rsid w:val="00F51316"/>
    <w:rsid w:val="00F530F1"/>
    <w:rsid w:val="00F54C8B"/>
    <w:rsid w:val="00F56231"/>
    <w:rsid w:val="00F5673F"/>
    <w:rsid w:val="00F568CE"/>
    <w:rsid w:val="00F61EE8"/>
    <w:rsid w:val="00F62249"/>
    <w:rsid w:val="00F640A6"/>
    <w:rsid w:val="00F6533C"/>
    <w:rsid w:val="00F676AF"/>
    <w:rsid w:val="00F707A7"/>
    <w:rsid w:val="00F7230A"/>
    <w:rsid w:val="00F72B9B"/>
    <w:rsid w:val="00F733B5"/>
    <w:rsid w:val="00F7526D"/>
    <w:rsid w:val="00F75D07"/>
    <w:rsid w:val="00F77465"/>
    <w:rsid w:val="00F7785B"/>
    <w:rsid w:val="00F80875"/>
    <w:rsid w:val="00F80F8D"/>
    <w:rsid w:val="00F81099"/>
    <w:rsid w:val="00F82DBB"/>
    <w:rsid w:val="00F86A74"/>
    <w:rsid w:val="00F8799A"/>
    <w:rsid w:val="00F90620"/>
    <w:rsid w:val="00F92351"/>
    <w:rsid w:val="00F931C9"/>
    <w:rsid w:val="00F94A9F"/>
    <w:rsid w:val="00F97AE6"/>
    <w:rsid w:val="00F97CE7"/>
    <w:rsid w:val="00FA063C"/>
    <w:rsid w:val="00FA3B46"/>
    <w:rsid w:val="00FA57CC"/>
    <w:rsid w:val="00FA5E89"/>
    <w:rsid w:val="00FA6256"/>
    <w:rsid w:val="00FA654B"/>
    <w:rsid w:val="00FA75DB"/>
    <w:rsid w:val="00FA766B"/>
    <w:rsid w:val="00FB0753"/>
    <w:rsid w:val="00FB5CFE"/>
    <w:rsid w:val="00FB6B58"/>
    <w:rsid w:val="00FB6B8E"/>
    <w:rsid w:val="00FC17A3"/>
    <w:rsid w:val="00FC2FEB"/>
    <w:rsid w:val="00FC33DD"/>
    <w:rsid w:val="00FC3917"/>
    <w:rsid w:val="00FC3C6C"/>
    <w:rsid w:val="00FC6F67"/>
    <w:rsid w:val="00FD0749"/>
    <w:rsid w:val="00FD088C"/>
    <w:rsid w:val="00FD27E8"/>
    <w:rsid w:val="00FD46F2"/>
    <w:rsid w:val="00FD5D7E"/>
    <w:rsid w:val="00FD6027"/>
    <w:rsid w:val="00FD6DC8"/>
    <w:rsid w:val="00FD70D8"/>
    <w:rsid w:val="00FE04B3"/>
    <w:rsid w:val="00FE2A61"/>
    <w:rsid w:val="00FE4188"/>
    <w:rsid w:val="00FE553B"/>
    <w:rsid w:val="00FE6229"/>
    <w:rsid w:val="00FE76AD"/>
    <w:rsid w:val="00FF1589"/>
    <w:rsid w:val="00FF4B0A"/>
    <w:rsid w:val="00FF6F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83"/>
  </w:style>
  <w:style w:type="paragraph" w:styleId="Heading1">
    <w:name w:val="heading 1"/>
    <w:basedOn w:val="Normal"/>
    <w:next w:val="Normal"/>
    <w:link w:val="Heading1Char"/>
    <w:uiPriority w:val="9"/>
    <w:qFormat/>
    <w:rsid w:val="00062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C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80"/>
  </w:style>
  <w:style w:type="paragraph" w:styleId="Footer">
    <w:name w:val="footer"/>
    <w:basedOn w:val="Normal"/>
    <w:link w:val="FooterChar"/>
    <w:uiPriority w:val="99"/>
    <w:unhideWhenUsed/>
    <w:rsid w:val="0006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C80"/>
  </w:style>
  <w:style w:type="paragraph" w:styleId="TOC1">
    <w:name w:val="toc 1"/>
    <w:basedOn w:val="Normal"/>
    <w:next w:val="Normal"/>
    <w:autoRedefine/>
    <w:uiPriority w:val="39"/>
    <w:unhideWhenUsed/>
    <w:rsid w:val="008C07A0"/>
    <w:pPr>
      <w:tabs>
        <w:tab w:val="right" w:leader="dot" w:pos="9016"/>
      </w:tabs>
      <w:spacing w:after="100"/>
    </w:pPr>
    <w:rPr>
      <w:rFonts w:ascii="Times New Roman" w:hAnsi="Times New Roman" w:cs="Times New Roman"/>
      <w:b/>
      <w:sz w:val="32"/>
      <w:szCs w:val="32"/>
    </w:rPr>
  </w:style>
  <w:style w:type="character" w:styleId="Hyperlink">
    <w:name w:val="Hyperlink"/>
    <w:basedOn w:val="DefaultParagraphFont"/>
    <w:uiPriority w:val="99"/>
    <w:unhideWhenUsed/>
    <w:rsid w:val="00C30228"/>
    <w:rPr>
      <w:color w:val="0000FF" w:themeColor="hyperlink"/>
      <w:u w:val="single"/>
    </w:rPr>
  </w:style>
  <w:style w:type="character" w:customStyle="1" w:styleId="Heading2Char">
    <w:name w:val="Heading 2 Char"/>
    <w:basedOn w:val="DefaultParagraphFont"/>
    <w:link w:val="Heading2"/>
    <w:uiPriority w:val="9"/>
    <w:rsid w:val="008C07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07A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5F3EC0"/>
    <w:pPr>
      <w:spacing w:after="100"/>
      <w:ind w:left="220"/>
    </w:pPr>
  </w:style>
  <w:style w:type="paragraph" w:styleId="TOC3">
    <w:name w:val="toc 3"/>
    <w:basedOn w:val="Normal"/>
    <w:next w:val="Normal"/>
    <w:autoRedefine/>
    <w:uiPriority w:val="39"/>
    <w:unhideWhenUsed/>
    <w:rsid w:val="005F3EC0"/>
    <w:pPr>
      <w:spacing w:after="100"/>
      <w:ind w:left="440"/>
    </w:pPr>
  </w:style>
  <w:style w:type="paragraph" w:styleId="ListParagraph">
    <w:name w:val="List Paragraph"/>
    <w:basedOn w:val="Normal"/>
    <w:uiPriority w:val="34"/>
    <w:qFormat/>
    <w:rsid w:val="00225E47"/>
    <w:pPr>
      <w:ind w:left="720"/>
      <w:contextualSpacing/>
    </w:pPr>
  </w:style>
  <w:style w:type="paragraph" w:styleId="BalloonText">
    <w:name w:val="Balloon Text"/>
    <w:basedOn w:val="Normal"/>
    <w:link w:val="BalloonTextChar"/>
    <w:uiPriority w:val="99"/>
    <w:semiHidden/>
    <w:unhideWhenUsed/>
    <w:rsid w:val="00C2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DA"/>
    <w:rPr>
      <w:rFonts w:ascii="Tahoma" w:hAnsi="Tahoma" w:cs="Tahoma"/>
      <w:sz w:val="16"/>
      <w:szCs w:val="16"/>
    </w:rPr>
  </w:style>
  <w:style w:type="table" w:styleId="TableGrid">
    <w:name w:val="Table Grid"/>
    <w:basedOn w:val="TableNormal"/>
    <w:uiPriority w:val="59"/>
    <w:rsid w:val="00C26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27DF"/>
    <w:rPr>
      <w:sz w:val="16"/>
      <w:szCs w:val="16"/>
    </w:rPr>
  </w:style>
  <w:style w:type="paragraph" w:styleId="CommentText">
    <w:name w:val="annotation text"/>
    <w:basedOn w:val="Normal"/>
    <w:link w:val="CommentTextChar"/>
    <w:uiPriority w:val="99"/>
    <w:semiHidden/>
    <w:unhideWhenUsed/>
    <w:rsid w:val="007F27DF"/>
    <w:pPr>
      <w:spacing w:line="240" w:lineRule="auto"/>
    </w:pPr>
    <w:rPr>
      <w:sz w:val="20"/>
      <w:szCs w:val="20"/>
    </w:rPr>
  </w:style>
  <w:style w:type="character" w:customStyle="1" w:styleId="CommentTextChar">
    <w:name w:val="Comment Text Char"/>
    <w:basedOn w:val="DefaultParagraphFont"/>
    <w:link w:val="CommentText"/>
    <w:uiPriority w:val="99"/>
    <w:semiHidden/>
    <w:rsid w:val="007F27DF"/>
    <w:rPr>
      <w:sz w:val="20"/>
      <w:szCs w:val="20"/>
    </w:rPr>
  </w:style>
  <w:style w:type="paragraph" w:styleId="CommentSubject">
    <w:name w:val="annotation subject"/>
    <w:basedOn w:val="CommentText"/>
    <w:next w:val="CommentText"/>
    <w:link w:val="CommentSubjectChar"/>
    <w:uiPriority w:val="99"/>
    <w:semiHidden/>
    <w:unhideWhenUsed/>
    <w:rsid w:val="007F27DF"/>
    <w:rPr>
      <w:b/>
      <w:bCs/>
    </w:rPr>
  </w:style>
  <w:style w:type="character" w:customStyle="1" w:styleId="CommentSubjectChar">
    <w:name w:val="Comment Subject Char"/>
    <w:basedOn w:val="CommentTextChar"/>
    <w:link w:val="CommentSubject"/>
    <w:uiPriority w:val="99"/>
    <w:semiHidden/>
    <w:rsid w:val="007F27DF"/>
    <w:rPr>
      <w:b/>
      <w:bCs/>
      <w:sz w:val="20"/>
      <w:szCs w:val="20"/>
    </w:rPr>
  </w:style>
  <w:style w:type="paragraph" w:styleId="FootnoteText">
    <w:name w:val="footnote text"/>
    <w:basedOn w:val="Normal"/>
    <w:link w:val="FootnoteTextChar"/>
    <w:uiPriority w:val="99"/>
    <w:semiHidden/>
    <w:unhideWhenUsed/>
    <w:rsid w:val="00E53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26D"/>
    <w:rPr>
      <w:sz w:val="20"/>
      <w:szCs w:val="20"/>
    </w:rPr>
  </w:style>
  <w:style w:type="character" w:styleId="FootnoteReference">
    <w:name w:val="footnote reference"/>
    <w:basedOn w:val="DefaultParagraphFont"/>
    <w:uiPriority w:val="99"/>
    <w:semiHidden/>
    <w:unhideWhenUsed/>
    <w:rsid w:val="00E5326D"/>
    <w:rPr>
      <w:vertAlign w:val="superscript"/>
    </w:rPr>
  </w:style>
  <w:style w:type="character" w:styleId="FollowedHyperlink">
    <w:name w:val="FollowedHyperlink"/>
    <w:basedOn w:val="DefaultParagraphFont"/>
    <w:uiPriority w:val="99"/>
    <w:semiHidden/>
    <w:unhideWhenUsed/>
    <w:rsid w:val="009A5B71"/>
    <w:rPr>
      <w:color w:val="800080" w:themeColor="followedHyperlink"/>
      <w:u w:val="single"/>
    </w:rPr>
  </w:style>
  <w:style w:type="character" w:customStyle="1" w:styleId="cit-title">
    <w:name w:val="cit-title"/>
    <w:basedOn w:val="DefaultParagraphFont"/>
    <w:rsid w:val="008D392F"/>
  </w:style>
  <w:style w:type="character" w:styleId="HTMLCite">
    <w:name w:val="HTML Cite"/>
    <w:basedOn w:val="DefaultParagraphFont"/>
    <w:uiPriority w:val="99"/>
    <w:semiHidden/>
    <w:unhideWhenUsed/>
    <w:rsid w:val="008D392F"/>
    <w:rPr>
      <w:i/>
      <w:iCs/>
    </w:rPr>
  </w:style>
  <w:style w:type="character" w:customStyle="1" w:styleId="cit-vol">
    <w:name w:val="cit-vol"/>
    <w:basedOn w:val="DefaultParagraphFont"/>
    <w:rsid w:val="008D392F"/>
  </w:style>
  <w:style w:type="character" w:customStyle="1" w:styleId="cit-sep">
    <w:name w:val="cit-sep"/>
    <w:basedOn w:val="DefaultParagraphFont"/>
    <w:rsid w:val="008D392F"/>
  </w:style>
  <w:style w:type="character" w:customStyle="1" w:styleId="cit-first-page">
    <w:name w:val="cit-first-page"/>
    <w:basedOn w:val="DefaultParagraphFont"/>
    <w:rsid w:val="008D392F"/>
  </w:style>
  <w:style w:type="character" w:customStyle="1" w:styleId="cit-last-page">
    <w:name w:val="cit-last-page"/>
    <w:basedOn w:val="DefaultParagraphFont"/>
    <w:rsid w:val="008D392F"/>
  </w:style>
  <w:style w:type="character" w:customStyle="1" w:styleId="fm-role">
    <w:name w:val="fm-role"/>
    <w:basedOn w:val="DefaultParagraphFont"/>
    <w:rsid w:val="00E62283"/>
  </w:style>
  <w:style w:type="character" w:styleId="Emphasis">
    <w:name w:val="Emphasis"/>
    <w:basedOn w:val="DefaultParagraphFont"/>
    <w:uiPriority w:val="20"/>
    <w:qFormat/>
    <w:rsid w:val="00E62283"/>
    <w:rPr>
      <w:i/>
      <w:iCs/>
    </w:rPr>
  </w:style>
  <w:style w:type="character" w:customStyle="1" w:styleId="name">
    <w:name w:val="name"/>
    <w:basedOn w:val="DefaultParagraphFont"/>
    <w:rsid w:val="00E62283"/>
  </w:style>
  <w:style w:type="character" w:customStyle="1" w:styleId="contrib-role">
    <w:name w:val="contrib-role"/>
    <w:basedOn w:val="DefaultParagraphFont"/>
    <w:rsid w:val="00E62283"/>
  </w:style>
  <w:style w:type="character" w:customStyle="1" w:styleId="contrib-email">
    <w:name w:val="contrib-email"/>
    <w:basedOn w:val="DefaultParagraphFont"/>
    <w:rsid w:val="00E62283"/>
  </w:style>
  <w:style w:type="character" w:customStyle="1" w:styleId="xref-aff">
    <w:name w:val="xref-aff"/>
    <w:basedOn w:val="DefaultParagraphFont"/>
    <w:rsid w:val="00E62283"/>
  </w:style>
  <w:style w:type="paragraph" w:styleId="NormalWeb">
    <w:name w:val="Normal (Web)"/>
    <w:aliases w:val="webb, webb"/>
    <w:basedOn w:val="Normal"/>
    <w:uiPriority w:val="99"/>
    <w:rsid w:val="008D37DC"/>
    <w:pPr>
      <w:spacing w:before="100" w:beforeAutospacing="1" w:after="100" w:afterAutospacing="1"/>
    </w:pPr>
    <w:rPr>
      <w:rFonts w:ascii="Calibri" w:eastAsia="Times New Roman" w:hAnsi="Calibri" w:cs="Times New Roman"/>
      <w:lang w:eastAsia="en-US" w:bidi="en-US"/>
    </w:rPr>
  </w:style>
  <w:style w:type="character" w:customStyle="1" w:styleId="colon">
    <w:name w:val="colon"/>
    <w:basedOn w:val="DefaultParagraphFont"/>
    <w:rsid w:val="00374839"/>
  </w:style>
  <w:style w:type="character" w:customStyle="1" w:styleId="apple-converted-space">
    <w:name w:val="apple-converted-space"/>
    <w:basedOn w:val="DefaultParagraphFont"/>
    <w:rsid w:val="009340F6"/>
  </w:style>
  <w:style w:type="character" w:customStyle="1" w:styleId="st">
    <w:name w:val="st"/>
    <w:basedOn w:val="DefaultParagraphFont"/>
    <w:rsid w:val="00334C35"/>
  </w:style>
</w:styles>
</file>

<file path=word/webSettings.xml><?xml version="1.0" encoding="utf-8"?>
<w:webSettings xmlns:r="http://schemas.openxmlformats.org/officeDocument/2006/relationships" xmlns:w="http://schemas.openxmlformats.org/wordprocessingml/2006/main">
  <w:divs>
    <w:div w:id="11418119">
      <w:bodyDiv w:val="1"/>
      <w:marLeft w:val="0"/>
      <w:marRight w:val="0"/>
      <w:marTop w:val="0"/>
      <w:marBottom w:val="0"/>
      <w:divBdr>
        <w:top w:val="none" w:sz="0" w:space="0" w:color="auto"/>
        <w:left w:val="none" w:sz="0" w:space="0" w:color="auto"/>
        <w:bottom w:val="none" w:sz="0" w:space="0" w:color="auto"/>
        <w:right w:val="none" w:sz="0" w:space="0" w:color="auto"/>
      </w:divBdr>
      <w:divsChild>
        <w:div w:id="1130585174">
          <w:marLeft w:val="0"/>
          <w:marRight w:val="0"/>
          <w:marTop w:val="0"/>
          <w:marBottom w:val="0"/>
          <w:divBdr>
            <w:top w:val="none" w:sz="0" w:space="0" w:color="auto"/>
            <w:left w:val="none" w:sz="0" w:space="0" w:color="auto"/>
            <w:bottom w:val="none" w:sz="0" w:space="0" w:color="auto"/>
            <w:right w:val="none" w:sz="0" w:space="0" w:color="auto"/>
          </w:divBdr>
        </w:div>
        <w:div w:id="2050646515">
          <w:marLeft w:val="0"/>
          <w:marRight w:val="0"/>
          <w:marTop w:val="0"/>
          <w:marBottom w:val="0"/>
          <w:divBdr>
            <w:top w:val="none" w:sz="0" w:space="0" w:color="auto"/>
            <w:left w:val="none" w:sz="0" w:space="0" w:color="auto"/>
            <w:bottom w:val="none" w:sz="0" w:space="0" w:color="auto"/>
            <w:right w:val="none" w:sz="0" w:space="0" w:color="auto"/>
          </w:divBdr>
        </w:div>
        <w:div w:id="1338847164">
          <w:marLeft w:val="0"/>
          <w:marRight w:val="0"/>
          <w:marTop w:val="0"/>
          <w:marBottom w:val="0"/>
          <w:divBdr>
            <w:top w:val="none" w:sz="0" w:space="0" w:color="auto"/>
            <w:left w:val="none" w:sz="0" w:space="0" w:color="auto"/>
            <w:bottom w:val="none" w:sz="0" w:space="0" w:color="auto"/>
            <w:right w:val="none" w:sz="0" w:space="0" w:color="auto"/>
          </w:divBdr>
        </w:div>
        <w:div w:id="1226725623">
          <w:marLeft w:val="0"/>
          <w:marRight w:val="0"/>
          <w:marTop w:val="0"/>
          <w:marBottom w:val="0"/>
          <w:divBdr>
            <w:top w:val="none" w:sz="0" w:space="0" w:color="auto"/>
            <w:left w:val="none" w:sz="0" w:space="0" w:color="auto"/>
            <w:bottom w:val="none" w:sz="0" w:space="0" w:color="auto"/>
            <w:right w:val="none" w:sz="0" w:space="0" w:color="auto"/>
          </w:divBdr>
        </w:div>
        <w:div w:id="297299310">
          <w:marLeft w:val="0"/>
          <w:marRight w:val="0"/>
          <w:marTop w:val="0"/>
          <w:marBottom w:val="0"/>
          <w:divBdr>
            <w:top w:val="none" w:sz="0" w:space="0" w:color="auto"/>
            <w:left w:val="none" w:sz="0" w:space="0" w:color="auto"/>
            <w:bottom w:val="none" w:sz="0" w:space="0" w:color="auto"/>
            <w:right w:val="none" w:sz="0" w:space="0" w:color="auto"/>
          </w:divBdr>
        </w:div>
        <w:div w:id="753282184">
          <w:marLeft w:val="0"/>
          <w:marRight w:val="0"/>
          <w:marTop w:val="0"/>
          <w:marBottom w:val="0"/>
          <w:divBdr>
            <w:top w:val="none" w:sz="0" w:space="0" w:color="auto"/>
            <w:left w:val="none" w:sz="0" w:space="0" w:color="auto"/>
            <w:bottom w:val="none" w:sz="0" w:space="0" w:color="auto"/>
            <w:right w:val="none" w:sz="0" w:space="0" w:color="auto"/>
          </w:divBdr>
        </w:div>
        <w:div w:id="1946885402">
          <w:marLeft w:val="0"/>
          <w:marRight w:val="0"/>
          <w:marTop w:val="0"/>
          <w:marBottom w:val="0"/>
          <w:divBdr>
            <w:top w:val="none" w:sz="0" w:space="0" w:color="auto"/>
            <w:left w:val="none" w:sz="0" w:space="0" w:color="auto"/>
            <w:bottom w:val="none" w:sz="0" w:space="0" w:color="auto"/>
            <w:right w:val="none" w:sz="0" w:space="0" w:color="auto"/>
          </w:divBdr>
        </w:div>
        <w:div w:id="2043285604">
          <w:marLeft w:val="0"/>
          <w:marRight w:val="0"/>
          <w:marTop w:val="0"/>
          <w:marBottom w:val="0"/>
          <w:divBdr>
            <w:top w:val="none" w:sz="0" w:space="0" w:color="auto"/>
            <w:left w:val="none" w:sz="0" w:space="0" w:color="auto"/>
            <w:bottom w:val="none" w:sz="0" w:space="0" w:color="auto"/>
            <w:right w:val="none" w:sz="0" w:space="0" w:color="auto"/>
          </w:divBdr>
        </w:div>
        <w:div w:id="1694115100">
          <w:marLeft w:val="0"/>
          <w:marRight w:val="0"/>
          <w:marTop w:val="0"/>
          <w:marBottom w:val="0"/>
          <w:divBdr>
            <w:top w:val="none" w:sz="0" w:space="0" w:color="auto"/>
            <w:left w:val="none" w:sz="0" w:space="0" w:color="auto"/>
            <w:bottom w:val="none" w:sz="0" w:space="0" w:color="auto"/>
            <w:right w:val="none" w:sz="0" w:space="0" w:color="auto"/>
          </w:divBdr>
        </w:div>
        <w:div w:id="886143030">
          <w:marLeft w:val="0"/>
          <w:marRight w:val="0"/>
          <w:marTop w:val="0"/>
          <w:marBottom w:val="0"/>
          <w:divBdr>
            <w:top w:val="none" w:sz="0" w:space="0" w:color="auto"/>
            <w:left w:val="none" w:sz="0" w:space="0" w:color="auto"/>
            <w:bottom w:val="none" w:sz="0" w:space="0" w:color="auto"/>
            <w:right w:val="none" w:sz="0" w:space="0" w:color="auto"/>
          </w:divBdr>
        </w:div>
        <w:div w:id="1442143384">
          <w:marLeft w:val="0"/>
          <w:marRight w:val="0"/>
          <w:marTop w:val="0"/>
          <w:marBottom w:val="0"/>
          <w:divBdr>
            <w:top w:val="none" w:sz="0" w:space="0" w:color="auto"/>
            <w:left w:val="none" w:sz="0" w:space="0" w:color="auto"/>
            <w:bottom w:val="none" w:sz="0" w:space="0" w:color="auto"/>
            <w:right w:val="none" w:sz="0" w:space="0" w:color="auto"/>
          </w:divBdr>
        </w:div>
        <w:div w:id="1710714611">
          <w:marLeft w:val="0"/>
          <w:marRight w:val="0"/>
          <w:marTop w:val="0"/>
          <w:marBottom w:val="0"/>
          <w:divBdr>
            <w:top w:val="none" w:sz="0" w:space="0" w:color="auto"/>
            <w:left w:val="none" w:sz="0" w:space="0" w:color="auto"/>
            <w:bottom w:val="none" w:sz="0" w:space="0" w:color="auto"/>
            <w:right w:val="none" w:sz="0" w:space="0" w:color="auto"/>
          </w:divBdr>
        </w:div>
        <w:div w:id="209921780">
          <w:marLeft w:val="0"/>
          <w:marRight w:val="0"/>
          <w:marTop w:val="0"/>
          <w:marBottom w:val="0"/>
          <w:divBdr>
            <w:top w:val="none" w:sz="0" w:space="0" w:color="auto"/>
            <w:left w:val="none" w:sz="0" w:space="0" w:color="auto"/>
            <w:bottom w:val="none" w:sz="0" w:space="0" w:color="auto"/>
            <w:right w:val="none" w:sz="0" w:space="0" w:color="auto"/>
          </w:divBdr>
        </w:div>
        <w:div w:id="16777511">
          <w:marLeft w:val="0"/>
          <w:marRight w:val="0"/>
          <w:marTop w:val="0"/>
          <w:marBottom w:val="0"/>
          <w:divBdr>
            <w:top w:val="none" w:sz="0" w:space="0" w:color="auto"/>
            <w:left w:val="none" w:sz="0" w:space="0" w:color="auto"/>
            <w:bottom w:val="none" w:sz="0" w:space="0" w:color="auto"/>
            <w:right w:val="none" w:sz="0" w:space="0" w:color="auto"/>
          </w:divBdr>
        </w:div>
        <w:div w:id="1018385371">
          <w:marLeft w:val="0"/>
          <w:marRight w:val="0"/>
          <w:marTop w:val="0"/>
          <w:marBottom w:val="0"/>
          <w:divBdr>
            <w:top w:val="none" w:sz="0" w:space="0" w:color="auto"/>
            <w:left w:val="none" w:sz="0" w:space="0" w:color="auto"/>
            <w:bottom w:val="none" w:sz="0" w:space="0" w:color="auto"/>
            <w:right w:val="none" w:sz="0" w:space="0" w:color="auto"/>
          </w:divBdr>
        </w:div>
        <w:div w:id="117719494">
          <w:marLeft w:val="0"/>
          <w:marRight w:val="0"/>
          <w:marTop w:val="0"/>
          <w:marBottom w:val="0"/>
          <w:divBdr>
            <w:top w:val="none" w:sz="0" w:space="0" w:color="auto"/>
            <w:left w:val="none" w:sz="0" w:space="0" w:color="auto"/>
            <w:bottom w:val="none" w:sz="0" w:space="0" w:color="auto"/>
            <w:right w:val="none" w:sz="0" w:space="0" w:color="auto"/>
          </w:divBdr>
        </w:div>
        <w:div w:id="1754352855">
          <w:marLeft w:val="0"/>
          <w:marRight w:val="0"/>
          <w:marTop w:val="0"/>
          <w:marBottom w:val="0"/>
          <w:divBdr>
            <w:top w:val="none" w:sz="0" w:space="0" w:color="auto"/>
            <w:left w:val="none" w:sz="0" w:space="0" w:color="auto"/>
            <w:bottom w:val="none" w:sz="0" w:space="0" w:color="auto"/>
            <w:right w:val="none" w:sz="0" w:space="0" w:color="auto"/>
          </w:divBdr>
        </w:div>
        <w:div w:id="1816406485">
          <w:marLeft w:val="0"/>
          <w:marRight w:val="0"/>
          <w:marTop w:val="0"/>
          <w:marBottom w:val="0"/>
          <w:divBdr>
            <w:top w:val="none" w:sz="0" w:space="0" w:color="auto"/>
            <w:left w:val="none" w:sz="0" w:space="0" w:color="auto"/>
            <w:bottom w:val="none" w:sz="0" w:space="0" w:color="auto"/>
            <w:right w:val="none" w:sz="0" w:space="0" w:color="auto"/>
          </w:divBdr>
        </w:div>
        <w:div w:id="1684015723">
          <w:marLeft w:val="0"/>
          <w:marRight w:val="0"/>
          <w:marTop w:val="0"/>
          <w:marBottom w:val="0"/>
          <w:divBdr>
            <w:top w:val="none" w:sz="0" w:space="0" w:color="auto"/>
            <w:left w:val="none" w:sz="0" w:space="0" w:color="auto"/>
            <w:bottom w:val="none" w:sz="0" w:space="0" w:color="auto"/>
            <w:right w:val="none" w:sz="0" w:space="0" w:color="auto"/>
          </w:divBdr>
        </w:div>
        <w:div w:id="670303829">
          <w:marLeft w:val="0"/>
          <w:marRight w:val="0"/>
          <w:marTop w:val="0"/>
          <w:marBottom w:val="0"/>
          <w:divBdr>
            <w:top w:val="none" w:sz="0" w:space="0" w:color="auto"/>
            <w:left w:val="none" w:sz="0" w:space="0" w:color="auto"/>
            <w:bottom w:val="none" w:sz="0" w:space="0" w:color="auto"/>
            <w:right w:val="none" w:sz="0" w:space="0" w:color="auto"/>
          </w:divBdr>
        </w:div>
        <w:div w:id="1639145465">
          <w:marLeft w:val="0"/>
          <w:marRight w:val="0"/>
          <w:marTop w:val="0"/>
          <w:marBottom w:val="0"/>
          <w:divBdr>
            <w:top w:val="none" w:sz="0" w:space="0" w:color="auto"/>
            <w:left w:val="none" w:sz="0" w:space="0" w:color="auto"/>
            <w:bottom w:val="none" w:sz="0" w:space="0" w:color="auto"/>
            <w:right w:val="none" w:sz="0" w:space="0" w:color="auto"/>
          </w:divBdr>
        </w:div>
        <w:div w:id="2072535821">
          <w:marLeft w:val="0"/>
          <w:marRight w:val="0"/>
          <w:marTop w:val="0"/>
          <w:marBottom w:val="0"/>
          <w:divBdr>
            <w:top w:val="none" w:sz="0" w:space="0" w:color="auto"/>
            <w:left w:val="none" w:sz="0" w:space="0" w:color="auto"/>
            <w:bottom w:val="none" w:sz="0" w:space="0" w:color="auto"/>
            <w:right w:val="none" w:sz="0" w:space="0" w:color="auto"/>
          </w:divBdr>
        </w:div>
      </w:divsChild>
    </w:div>
    <w:div w:id="16974837">
      <w:bodyDiv w:val="1"/>
      <w:marLeft w:val="0"/>
      <w:marRight w:val="0"/>
      <w:marTop w:val="0"/>
      <w:marBottom w:val="0"/>
      <w:divBdr>
        <w:top w:val="none" w:sz="0" w:space="0" w:color="auto"/>
        <w:left w:val="none" w:sz="0" w:space="0" w:color="auto"/>
        <w:bottom w:val="none" w:sz="0" w:space="0" w:color="auto"/>
        <w:right w:val="none" w:sz="0" w:space="0" w:color="auto"/>
      </w:divBdr>
      <w:divsChild>
        <w:div w:id="754132305">
          <w:marLeft w:val="0"/>
          <w:marRight w:val="0"/>
          <w:marTop w:val="0"/>
          <w:marBottom w:val="0"/>
          <w:divBdr>
            <w:top w:val="none" w:sz="0" w:space="0" w:color="auto"/>
            <w:left w:val="none" w:sz="0" w:space="0" w:color="auto"/>
            <w:bottom w:val="none" w:sz="0" w:space="0" w:color="auto"/>
            <w:right w:val="none" w:sz="0" w:space="0" w:color="auto"/>
          </w:divBdr>
        </w:div>
        <w:div w:id="676424575">
          <w:marLeft w:val="0"/>
          <w:marRight w:val="0"/>
          <w:marTop w:val="0"/>
          <w:marBottom w:val="0"/>
          <w:divBdr>
            <w:top w:val="none" w:sz="0" w:space="0" w:color="auto"/>
            <w:left w:val="none" w:sz="0" w:space="0" w:color="auto"/>
            <w:bottom w:val="none" w:sz="0" w:space="0" w:color="auto"/>
            <w:right w:val="none" w:sz="0" w:space="0" w:color="auto"/>
          </w:divBdr>
        </w:div>
        <w:div w:id="324169892">
          <w:marLeft w:val="0"/>
          <w:marRight w:val="0"/>
          <w:marTop w:val="0"/>
          <w:marBottom w:val="0"/>
          <w:divBdr>
            <w:top w:val="none" w:sz="0" w:space="0" w:color="auto"/>
            <w:left w:val="none" w:sz="0" w:space="0" w:color="auto"/>
            <w:bottom w:val="none" w:sz="0" w:space="0" w:color="auto"/>
            <w:right w:val="none" w:sz="0" w:space="0" w:color="auto"/>
          </w:divBdr>
        </w:div>
        <w:div w:id="1743259510">
          <w:marLeft w:val="0"/>
          <w:marRight w:val="0"/>
          <w:marTop w:val="0"/>
          <w:marBottom w:val="0"/>
          <w:divBdr>
            <w:top w:val="none" w:sz="0" w:space="0" w:color="auto"/>
            <w:left w:val="none" w:sz="0" w:space="0" w:color="auto"/>
            <w:bottom w:val="none" w:sz="0" w:space="0" w:color="auto"/>
            <w:right w:val="none" w:sz="0" w:space="0" w:color="auto"/>
          </w:divBdr>
        </w:div>
        <w:div w:id="941574777">
          <w:marLeft w:val="0"/>
          <w:marRight w:val="0"/>
          <w:marTop w:val="0"/>
          <w:marBottom w:val="0"/>
          <w:divBdr>
            <w:top w:val="none" w:sz="0" w:space="0" w:color="auto"/>
            <w:left w:val="none" w:sz="0" w:space="0" w:color="auto"/>
            <w:bottom w:val="none" w:sz="0" w:space="0" w:color="auto"/>
            <w:right w:val="none" w:sz="0" w:space="0" w:color="auto"/>
          </w:divBdr>
        </w:div>
        <w:div w:id="853954133">
          <w:marLeft w:val="0"/>
          <w:marRight w:val="0"/>
          <w:marTop w:val="0"/>
          <w:marBottom w:val="0"/>
          <w:divBdr>
            <w:top w:val="none" w:sz="0" w:space="0" w:color="auto"/>
            <w:left w:val="none" w:sz="0" w:space="0" w:color="auto"/>
            <w:bottom w:val="none" w:sz="0" w:space="0" w:color="auto"/>
            <w:right w:val="none" w:sz="0" w:space="0" w:color="auto"/>
          </w:divBdr>
        </w:div>
        <w:div w:id="720447459">
          <w:marLeft w:val="0"/>
          <w:marRight w:val="0"/>
          <w:marTop w:val="0"/>
          <w:marBottom w:val="0"/>
          <w:divBdr>
            <w:top w:val="none" w:sz="0" w:space="0" w:color="auto"/>
            <w:left w:val="none" w:sz="0" w:space="0" w:color="auto"/>
            <w:bottom w:val="none" w:sz="0" w:space="0" w:color="auto"/>
            <w:right w:val="none" w:sz="0" w:space="0" w:color="auto"/>
          </w:divBdr>
        </w:div>
        <w:div w:id="984310951">
          <w:marLeft w:val="0"/>
          <w:marRight w:val="0"/>
          <w:marTop w:val="0"/>
          <w:marBottom w:val="0"/>
          <w:divBdr>
            <w:top w:val="none" w:sz="0" w:space="0" w:color="auto"/>
            <w:left w:val="none" w:sz="0" w:space="0" w:color="auto"/>
            <w:bottom w:val="none" w:sz="0" w:space="0" w:color="auto"/>
            <w:right w:val="none" w:sz="0" w:space="0" w:color="auto"/>
          </w:divBdr>
        </w:div>
      </w:divsChild>
    </w:div>
    <w:div w:id="23753153">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sChild>
        <w:div w:id="502622402">
          <w:marLeft w:val="0"/>
          <w:marRight w:val="0"/>
          <w:marTop w:val="0"/>
          <w:marBottom w:val="0"/>
          <w:divBdr>
            <w:top w:val="none" w:sz="0" w:space="0" w:color="auto"/>
            <w:left w:val="none" w:sz="0" w:space="0" w:color="auto"/>
            <w:bottom w:val="none" w:sz="0" w:space="0" w:color="auto"/>
            <w:right w:val="none" w:sz="0" w:space="0" w:color="auto"/>
          </w:divBdr>
        </w:div>
        <w:div w:id="1863670546">
          <w:marLeft w:val="0"/>
          <w:marRight w:val="0"/>
          <w:marTop w:val="0"/>
          <w:marBottom w:val="0"/>
          <w:divBdr>
            <w:top w:val="none" w:sz="0" w:space="0" w:color="auto"/>
            <w:left w:val="none" w:sz="0" w:space="0" w:color="auto"/>
            <w:bottom w:val="none" w:sz="0" w:space="0" w:color="auto"/>
            <w:right w:val="none" w:sz="0" w:space="0" w:color="auto"/>
          </w:divBdr>
        </w:div>
        <w:div w:id="1983346453">
          <w:marLeft w:val="0"/>
          <w:marRight w:val="0"/>
          <w:marTop w:val="0"/>
          <w:marBottom w:val="0"/>
          <w:divBdr>
            <w:top w:val="none" w:sz="0" w:space="0" w:color="auto"/>
            <w:left w:val="none" w:sz="0" w:space="0" w:color="auto"/>
            <w:bottom w:val="none" w:sz="0" w:space="0" w:color="auto"/>
            <w:right w:val="none" w:sz="0" w:space="0" w:color="auto"/>
          </w:divBdr>
        </w:div>
      </w:divsChild>
    </w:div>
    <w:div w:id="63454236">
      <w:bodyDiv w:val="1"/>
      <w:marLeft w:val="0"/>
      <w:marRight w:val="0"/>
      <w:marTop w:val="0"/>
      <w:marBottom w:val="0"/>
      <w:divBdr>
        <w:top w:val="none" w:sz="0" w:space="0" w:color="auto"/>
        <w:left w:val="none" w:sz="0" w:space="0" w:color="auto"/>
        <w:bottom w:val="none" w:sz="0" w:space="0" w:color="auto"/>
        <w:right w:val="none" w:sz="0" w:space="0" w:color="auto"/>
      </w:divBdr>
    </w:div>
    <w:div w:id="68578540">
      <w:bodyDiv w:val="1"/>
      <w:marLeft w:val="0"/>
      <w:marRight w:val="0"/>
      <w:marTop w:val="0"/>
      <w:marBottom w:val="0"/>
      <w:divBdr>
        <w:top w:val="none" w:sz="0" w:space="0" w:color="auto"/>
        <w:left w:val="none" w:sz="0" w:space="0" w:color="auto"/>
        <w:bottom w:val="none" w:sz="0" w:space="0" w:color="auto"/>
        <w:right w:val="none" w:sz="0" w:space="0" w:color="auto"/>
      </w:divBdr>
    </w:div>
    <w:div w:id="143161179">
      <w:bodyDiv w:val="1"/>
      <w:marLeft w:val="0"/>
      <w:marRight w:val="0"/>
      <w:marTop w:val="0"/>
      <w:marBottom w:val="0"/>
      <w:divBdr>
        <w:top w:val="none" w:sz="0" w:space="0" w:color="auto"/>
        <w:left w:val="none" w:sz="0" w:space="0" w:color="auto"/>
        <w:bottom w:val="none" w:sz="0" w:space="0" w:color="auto"/>
        <w:right w:val="none" w:sz="0" w:space="0" w:color="auto"/>
      </w:divBdr>
    </w:div>
    <w:div w:id="153035428">
      <w:bodyDiv w:val="1"/>
      <w:marLeft w:val="0"/>
      <w:marRight w:val="0"/>
      <w:marTop w:val="0"/>
      <w:marBottom w:val="0"/>
      <w:divBdr>
        <w:top w:val="none" w:sz="0" w:space="0" w:color="auto"/>
        <w:left w:val="none" w:sz="0" w:space="0" w:color="auto"/>
        <w:bottom w:val="none" w:sz="0" w:space="0" w:color="auto"/>
        <w:right w:val="none" w:sz="0" w:space="0" w:color="auto"/>
      </w:divBdr>
    </w:div>
    <w:div w:id="171116829">
      <w:bodyDiv w:val="1"/>
      <w:marLeft w:val="0"/>
      <w:marRight w:val="0"/>
      <w:marTop w:val="0"/>
      <w:marBottom w:val="0"/>
      <w:divBdr>
        <w:top w:val="none" w:sz="0" w:space="0" w:color="auto"/>
        <w:left w:val="none" w:sz="0" w:space="0" w:color="auto"/>
        <w:bottom w:val="none" w:sz="0" w:space="0" w:color="auto"/>
        <w:right w:val="none" w:sz="0" w:space="0" w:color="auto"/>
      </w:divBdr>
    </w:div>
    <w:div w:id="178783137">
      <w:bodyDiv w:val="1"/>
      <w:marLeft w:val="0"/>
      <w:marRight w:val="0"/>
      <w:marTop w:val="0"/>
      <w:marBottom w:val="0"/>
      <w:divBdr>
        <w:top w:val="none" w:sz="0" w:space="0" w:color="auto"/>
        <w:left w:val="none" w:sz="0" w:space="0" w:color="auto"/>
        <w:bottom w:val="none" w:sz="0" w:space="0" w:color="auto"/>
        <w:right w:val="none" w:sz="0" w:space="0" w:color="auto"/>
      </w:divBdr>
    </w:div>
    <w:div w:id="233780172">
      <w:bodyDiv w:val="1"/>
      <w:marLeft w:val="0"/>
      <w:marRight w:val="0"/>
      <w:marTop w:val="0"/>
      <w:marBottom w:val="0"/>
      <w:divBdr>
        <w:top w:val="none" w:sz="0" w:space="0" w:color="auto"/>
        <w:left w:val="none" w:sz="0" w:space="0" w:color="auto"/>
        <w:bottom w:val="none" w:sz="0" w:space="0" w:color="auto"/>
        <w:right w:val="none" w:sz="0" w:space="0" w:color="auto"/>
      </w:divBdr>
    </w:div>
    <w:div w:id="387269089">
      <w:bodyDiv w:val="1"/>
      <w:marLeft w:val="0"/>
      <w:marRight w:val="0"/>
      <w:marTop w:val="0"/>
      <w:marBottom w:val="0"/>
      <w:divBdr>
        <w:top w:val="none" w:sz="0" w:space="0" w:color="auto"/>
        <w:left w:val="none" w:sz="0" w:space="0" w:color="auto"/>
        <w:bottom w:val="none" w:sz="0" w:space="0" w:color="auto"/>
        <w:right w:val="none" w:sz="0" w:space="0" w:color="auto"/>
      </w:divBdr>
    </w:div>
    <w:div w:id="402140974">
      <w:bodyDiv w:val="1"/>
      <w:marLeft w:val="0"/>
      <w:marRight w:val="0"/>
      <w:marTop w:val="0"/>
      <w:marBottom w:val="0"/>
      <w:divBdr>
        <w:top w:val="none" w:sz="0" w:space="0" w:color="auto"/>
        <w:left w:val="none" w:sz="0" w:space="0" w:color="auto"/>
        <w:bottom w:val="none" w:sz="0" w:space="0" w:color="auto"/>
        <w:right w:val="none" w:sz="0" w:space="0" w:color="auto"/>
      </w:divBdr>
    </w:div>
    <w:div w:id="430929405">
      <w:bodyDiv w:val="1"/>
      <w:marLeft w:val="0"/>
      <w:marRight w:val="0"/>
      <w:marTop w:val="0"/>
      <w:marBottom w:val="0"/>
      <w:divBdr>
        <w:top w:val="none" w:sz="0" w:space="0" w:color="auto"/>
        <w:left w:val="none" w:sz="0" w:space="0" w:color="auto"/>
        <w:bottom w:val="none" w:sz="0" w:space="0" w:color="auto"/>
        <w:right w:val="none" w:sz="0" w:space="0" w:color="auto"/>
      </w:divBdr>
      <w:divsChild>
        <w:div w:id="1255432092">
          <w:marLeft w:val="0"/>
          <w:marRight w:val="0"/>
          <w:marTop w:val="0"/>
          <w:marBottom w:val="0"/>
          <w:divBdr>
            <w:top w:val="none" w:sz="0" w:space="0" w:color="auto"/>
            <w:left w:val="none" w:sz="0" w:space="0" w:color="auto"/>
            <w:bottom w:val="none" w:sz="0" w:space="0" w:color="auto"/>
            <w:right w:val="none" w:sz="0" w:space="0" w:color="auto"/>
          </w:divBdr>
          <w:divsChild>
            <w:div w:id="2032994954">
              <w:marLeft w:val="0"/>
              <w:marRight w:val="0"/>
              <w:marTop w:val="0"/>
              <w:marBottom w:val="0"/>
              <w:divBdr>
                <w:top w:val="none" w:sz="0" w:space="0" w:color="auto"/>
                <w:left w:val="none" w:sz="0" w:space="0" w:color="auto"/>
                <w:bottom w:val="none" w:sz="0" w:space="0" w:color="auto"/>
                <w:right w:val="none" w:sz="0" w:space="0" w:color="auto"/>
              </w:divBdr>
              <w:divsChild>
                <w:div w:id="2123719466">
                  <w:marLeft w:val="0"/>
                  <w:marRight w:val="0"/>
                  <w:marTop w:val="0"/>
                  <w:marBottom w:val="0"/>
                  <w:divBdr>
                    <w:top w:val="none" w:sz="0" w:space="0" w:color="auto"/>
                    <w:left w:val="none" w:sz="0" w:space="0" w:color="auto"/>
                    <w:bottom w:val="none" w:sz="0" w:space="0" w:color="auto"/>
                    <w:right w:val="none" w:sz="0" w:space="0" w:color="auto"/>
                  </w:divBdr>
                  <w:divsChild>
                    <w:div w:id="801532548">
                      <w:marLeft w:val="0"/>
                      <w:marRight w:val="0"/>
                      <w:marTop w:val="0"/>
                      <w:marBottom w:val="0"/>
                      <w:divBdr>
                        <w:top w:val="none" w:sz="0" w:space="0" w:color="auto"/>
                        <w:left w:val="none" w:sz="0" w:space="0" w:color="auto"/>
                        <w:bottom w:val="none" w:sz="0" w:space="0" w:color="auto"/>
                        <w:right w:val="none" w:sz="0" w:space="0" w:color="auto"/>
                      </w:divBdr>
                      <w:divsChild>
                        <w:div w:id="1084959935">
                          <w:marLeft w:val="0"/>
                          <w:marRight w:val="0"/>
                          <w:marTop w:val="0"/>
                          <w:marBottom w:val="0"/>
                          <w:divBdr>
                            <w:top w:val="none" w:sz="0" w:space="0" w:color="auto"/>
                            <w:left w:val="none" w:sz="0" w:space="0" w:color="auto"/>
                            <w:bottom w:val="none" w:sz="0" w:space="0" w:color="auto"/>
                            <w:right w:val="none" w:sz="0" w:space="0" w:color="auto"/>
                          </w:divBdr>
                          <w:divsChild>
                            <w:div w:id="2086026856">
                              <w:marLeft w:val="0"/>
                              <w:marRight w:val="0"/>
                              <w:marTop w:val="0"/>
                              <w:marBottom w:val="0"/>
                              <w:divBdr>
                                <w:top w:val="none" w:sz="0" w:space="0" w:color="auto"/>
                                <w:left w:val="none" w:sz="0" w:space="0" w:color="auto"/>
                                <w:bottom w:val="none" w:sz="0" w:space="0" w:color="auto"/>
                                <w:right w:val="none" w:sz="0" w:space="0" w:color="auto"/>
                              </w:divBdr>
                              <w:divsChild>
                                <w:div w:id="888029876">
                                  <w:marLeft w:val="0"/>
                                  <w:marRight w:val="0"/>
                                  <w:marTop w:val="0"/>
                                  <w:marBottom w:val="0"/>
                                  <w:divBdr>
                                    <w:top w:val="none" w:sz="0" w:space="0" w:color="auto"/>
                                    <w:left w:val="none" w:sz="0" w:space="0" w:color="auto"/>
                                    <w:bottom w:val="none" w:sz="0" w:space="0" w:color="auto"/>
                                    <w:right w:val="none" w:sz="0" w:space="0" w:color="auto"/>
                                  </w:divBdr>
                                  <w:divsChild>
                                    <w:div w:id="773668309">
                                      <w:marLeft w:val="0"/>
                                      <w:marRight w:val="0"/>
                                      <w:marTop w:val="0"/>
                                      <w:marBottom w:val="0"/>
                                      <w:divBdr>
                                        <w:top w:val="none" w:sz="0" w:space="0" w:color="auto"/>
                                        <w:left w:val="none" w:sz="0" w:space="0" w:color="auto"/>
                                        <w:bottom w:val="none" w:sz="0" w:space="0" w:color="auto"/>
                                        <w:right w:val="none" w:sz="0" w:space="0" w:color="auto"/>
                                      </w:divBdr>
                                      <w:divsChild>
                                        <w:div w:id="2086758662">
                                          <w:marLeft w:val="0"/>
                                          <w:marRight w:val="0"/>
                                          <w:marTop w:val="0"/>
                                          <w:marBottom w:val="0"/>
                                          <w:divBdr>
                                            <w:top w:val="none" w:sz="0" w:space="0" w:color="auto"/>
                                            <w:left w:val="none" w:sz="0" w:space="0" w:color="auto"/>
                                            <w:bottom w:val="none" w:sz="0" w:space="0" w:color="auto"/>
                                            <w:right w:val="none" w:sz="0" w:space="0" w:color="auto"/>
                                          </w:divBdr>
                                          <w:divsChild>
                                            <w:div w:id="1567955089">
                                              <w:marLeft w:val="0"/>
                                              <w:marRight w:val="0"/>
                                              <w:marTop w:val="0"/>
                                              <w:marBottom w:val="0"/>
                                              <w:divBdr>
                                                <w:top w:val="none" w:sz="0" w:space="0" w:color="auto"/>
                                                <w:left w:val="none" w:sz="0" w:space="0" w:color="auto"/>
                                                <w:bottom w:val="none" w:sz="0" w:space="0" w:color="auto"/>
                                                <w:right w:val="none" w:sz="0" w:space="0" w:color="auto"/>
                                              </w:divBdr>
                                              <w:divsChild>
                                                <w:div w:id="2096827175">
                                                  <w:marLeft w:val="0"/>
                                                  <w:marRight w:val="0"/>
                                                  <w:marTop w:val="0"/>
                                                  <w:marBottom w:val="0"/>
                                                  <w:divBdr>
                                                    <w:top w:val="none" w:sz="0" w:space="0" w:color="auto"/>
                                                    <w:left w:val="none" w:sz="0" w:space="0" w:color="auto"/>
                                                    <w:bottom w:val="none" w:sz="0" w:space="0" w:color="auto"/>
                                                    <w:right w:val="none" w:sz="0" w:space="0" w:color="auto"/>
                                                  </w:divBdr>
                                                  <w:divsChild>
                                                    <w:div w:id="332923190">
                                                      <w:marLeft w:val="0"/>
                                                      <w:marRight w:val="0"/>
                                                      <w:marTop w:val="0"/>
                                                      <w:marBottom w:val="0"/>
                                                      <w:divBdr>
                                                        <w:top w:val="none" w:sz="0" w:space="0" w:color="auto"/>
                                                        <w:left w:val="none" w:sz="0" w:space="0" w:color="auto"/>
                                                        <w:bottom w:val="none" w:sz="0" w:space="0" w:color="auto"/>
                                                        <w:right w:val="none" w:sz="0" w:space="0" w:color="auto"/>
                                                      </w:divBdr>
                                                      <w:divsChild>
                                                        <w:div w:id="807089493">
                                                          <w:marLeft w:val="0"/>
                                                          <w:marRight w:val="0"/>
                                                          <w:marTop w:val="0"/>
                                                          <w:marBottom w:val="0"/>
                                                          <w:divBdr>
                                                            <w:top w:val="none" w:sz="0" w:space="0" w:color="auto"/>
                                                            <w:left w:val="none" w:sz="0" w:space="0" w:color="auto"/>
                                                            <w:bottom w:val="none" w:sz="0" w:space="0" w:color="auto"/>
                                                            <w:right w:val="none" w:sz="0" w:space="0" w:color="auto"/>
                                                          </w:divBdr>
                                                          <w:divsChild>
                                                            <w:div w:id="1167669377">
                                                              <w:marLeft w:val="0"/>
                                                              <w:marRight w:val="0"/>
                                                              <w:marTop w:val="0"/>
                                                              <w:marBottom w:val="0"/>
                                                              <w:divBdr>
                                                                <w:top w:val="none" w:sz="0" w:space="0" w:color="auto"/>
                                                                <w:left w:val="none" w:sz="0" w:space="0" w:color="auto"/>
                                                                <w:bottom w:val="none" w:sz="0" w:space="0" w:color="auto"/>
                                                                <w:right w:val="none" w:sz="0" w:space="0" w:color="auto"/>
                                                              </w:divBdr>
                                                              <w:divsChild>
                                                                <w:div w:id="7756925">
                                                                  <w:marLeft w:val="0"/>
                                                                  <w:marRight w:val="0"/>
                                                                  <w:marTop w:val="0"/>
                                                                  <w:marBottom w:val="0"/>
                                                                  <w:divBdr>
                                                                    <w:top w:val="none" w:sz="0" w:space="0" w:color="auto"/>
                                                                    <w:left w:val="none" w:sz="0" w:space="0" w:color="auto"/>
                                                                    <w:bottom w:val="none" w:sz="0" w:space="0" w:color="auto"/>
                                                                    <w:right w:val="none" w:sz="0" w:space="0" w:color="auto"/>
                                                                  </w:divBdr>
                                                                </w:div>
                                                              </w:divsChild>
                                                            </w:div>
                                                            <w:div w:id="868645731">
                                                              <w:marLeft w:val="0"/>
                                                              <w:marRight w:val="0"/>
                                                              <w:marTop w:val="0"/>
                                                              <w:marBottom w:val="0"/>
                                                              <w:divBdr>
                                                                <w:top w:val="none" w:sz="0" w:space="0" w:color="auto"/>
                                                                <w:left w:val="none" w:sz="0" w:space="0" w:color="auto"/>
                                                                <w:bottom w:val="none" w:sz="0" w:space="0" w:color="auto"/>
                                                                <w:right w:val="none" w:sz="0" w:space="0" w:color="auto"/>
                                                              </w:divBdr>
                                                              <w:divsChild>
                                                                <w:div w:id="427434611">
                                                                  <w:marLeft w:val="0"/>
                                                                  <w:marRight w:val="0"/>
                                                                  <w:marTop w:val="0"/>
                                                                  <w:marBottom w:val="0"/>
                                                                  <w:divBdr>
                                                                    <w:top w:val="none" w:sz="0" w:space="0" w:color="auto"/>
                                                                    <w:left w:val="none" w:sz="0" w:space="0" w:color="auto"/>
                                                                    <w:bottom w:val="none" w:sz="0" w:space="0" w:color="auto"/>
                                                                    <w:right w:val="none" w:sz="0" w:space="0" w:color="auto"/>
                                                                  </w:divBdr>
                                                                  <w:divsChild>
                                                                    <w:div w:id="2117868159">
                                                                      <w:marLeft w:val="0"/>
                                                                      <w:marRight w:val="0"/>
                                                                      <w:marTop w:val="0"/>
                                                                      <w:marBottom w:val="0"/>
                                                                      <w:divBdr>
                                                                        <w:top w:val="none" w:sz="0" w:space="0" w:color="auto"/>
                                                                        <w:left w:val="none" w:sz="0" w:space="0" w:color="auto"/>
                                                                        <w:bottom w:val="none" w:sz="0" w:space="0" w:color="auto"/>
                                                                        <w:right w:val="none" w:sz="0" w:space="0" w:color="auto"/>
                                                                      </w:divBdr>
                                                                      <w:divsChild>
                                                                        <w:div w:id="1639722918">
                                                                          <w:marLeft w:val="0"/>
                                                                          <w:marRight w:val="0"/>
                                                                          <w:marTop w:val="0"/>
                                                                          <w:marBottom w:val="0"/>
                                                                          <w:divBdr>
                                                                            <w:top w:val="none" w:sz="0" w:space="0" w:color="auto"/>
                                                                            <w:left w:val="none" w:sz="0" w:space="0" w:color="auto"/>
                                                                            <w:bottom w:val="none" w:sz="0" w:space="0" w:color="auto"/>
                                                                            <w:right w:val="none" w:sz="0" w:space="0" w:color="auto"/>
                                                                          </w:divBdr>
                                                                          <w:divsChild>
                                                                            <w:div w:id="1464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640694">
      <w:bodyDiv w:val="1"/>
      <w:marLeft w:val="0"/>
      <w:marRight w:val="0"/>
      <w:marTop w:val="0"/>
      <w:marBottom w:val="0"/>
      <w:divBdr>
        <w:top w:val="none" w:sz="0" w:space="0" w:color="auto"/>
        <w:left w:val="none" w:sz="0" w:space="0" w:color="auto"/>
        <w:bottom w:val="none" w:sz="0" w:space="0" w:color="auto"/>
        <w:right w:val="none" w:sz="0" w:space="0" w:color="auto"/>
      </w:divBdr>
    </w:div>
    <w:div w:id="464011219">
      <w:bodyDiv w:val="1"/>
      <w:marLeft w:val="0"/>
      <w:marRight w:val="0"/>
      <w:marTop w:val="0"/>
      <w:marBottom w:val="0"/>
      <w:divBdr>
        <w:top w:val="none" w:sz="0" w:space="0" w:color="auto"/>
        <w:left w:val="none" w:sz="0" w:space="0" w:color="auto"/>
        <w:bottom w:val="none" w:sz="0" w:space="0" w:color="auto"/>
        <w:right w:val="none" w:sz="0" w:space="0" w:color="auto"/>
      </w:divBdr>
    </w:div>
    <w:div w:id="472253526">
      <w:bodyDiv w:val="1"/>
      <w:marLeft w:val="0"/>
      <w:marRight w:val="0"/>
      <w:marTop w:val="0"/>
      <w:marBottom w:val="0"/>
      <w:divBdr>
        <w:top w:val="none" w:sz="0" w:space="0" w:color="auto"/>
        <w:left w:val="none" w:sz="0" w:space="0" w:color="auto"/>
        <w:bottom w:val="none" w:sz="0" w:space="0" w:color="auto"/>
        <w:right w:val="none" w:sz="0" w:space="0" w:color="auto"/>
      </w:divBdr>
    </w:div>
    <w:div w:id="479347477">
      <w:bodyDiv w:val="1"/>
      <w:marLeft w:val="0"/>
      <w:marRight w:val="0"/>
      <w:marTop w:val="0"/>
      <w:marBottom w:val="0"/>
      <w:divBdr>
        <w:top w:val="none" w:sz="0" w:space="0" w:color="auto"/>
        <w:left w:val="none" w:sz="0" w:space="0" w:color="auto"/>
        <w:bottom w:val="none" w:sz="0" w:space="0" w:color="auto"/>
        <w:right w:val="none" w:sz="0" w:space="0" w:color="auto"/>
      </w:divBdr>
    </w:div>
    <w:div w:id="499151925">
      <w:bodyDiv w:val="1"/>
      <w:marLeft w:val="0"/>
      <w:marRight w:val="0"/>
      <w:marTop w:val="0"/>
      <w:marBottom w:val="0"/>
      <w:divBdr>
        <w:top w:val="none" w:sz="0" w:space="0" w:color="auto"/>
        <w:left w:val="none" w:sz="0" w:space="0" w:color="auto"/>
        <w:bottom w:val="none" w:sz="0" w:space="0" w:color="auto"/>
        <w:right w:val="none" w:sz="0" w:space="0" w:color="auto"/>
      </w:divBdr>
    </w:div>
    <w:div w:id="566191980">
      <w:bodyDiv w:val="1"/>
      <w:marLeft w:val="0"/>
      <w:marRight w:val="0"/>
      <w:marTop w:val="0"/>
      <w:marBottom w:val="0"/>
      <w:divBdr>
        <w:top w:val="none" w:sz="0" w:space="0" w:color="auto"/>
        <w:left w:val="none" w:sz="0" w:space="0" w:color="auto"/>
        <w:bottom w:val="none" w:sz="0" w:space="0" w:color="auto"/>
        <w:right w:val="none" w:sz="0" w:space="0" w:color="auto"/>
      </w:divBdr>
      <w:divsChild>
        <w:div w:id="1198155550">
          <w:marLeft w:val="0"/>
          <w:marRight w:val="0"/>
          <w:marTop w:val="0"/>
          <w:marBottom w:val="0"/>
          <w:divBdr>
            <w:top w:val="none" w:sz="0" w:space="0" w:color="auto"/>
            <w:left w:val="none" w:sz="0" w:space="0" w:color="auto"/>
            <w:bottom w:val="none" w:sz="0" w:space="0" w:color="auto"/>
            <w:right w:val="none" w:sz="0" w:space="0" w:color="auto"/>
          </w:divBdr>
        </w:div>
        <w:div w:id="381635248">
          <w:marLeft w:val="0"/>
          <w:marRight w:val="0"/>
          <w:marTop w:val="0"/>
          <w:marBottom w:val="0"/>
          <w:divBdr>
            <w:top w:val="none" w:sz="0" w:space="0" w:color="auto"/>
            <w:left w:val="none" w:sz="0" w:space="0" w:color="auto"/>
            <w:bottom w:val="none" w:sz="0" w:space="0" w:color="auto"/>
            <w:right w:val="none" w:sz="0" w:space="0" w:color="auto"/>
          </w:divBdr>
        </w:div>
        <w:div w:id="1822035680">
          <w:marLeft w:val="0"/>
          <w:marRight w:val="0"/>
          <w:marTop w:val="0"/>
          <w:marBottom w:val="0"/>
          <w:divBdr>
            <w:top w:val="none" w:sz="0" w:space="0" w:color="auto"/>
            <w:left w:val="none" w:sz="0" w:space="0" w:color="auto"/>
            <w:bottom w:val="none" w:sz="0" w:space="0" w:color="auto"/>
            <w:right w:val="none" w:sz="0" w:space="0" w:color="auto"/>
          </w:divBdr>
        </w:div>
        <w:div w:id="596669484">
          <w:marLeft w:val="0"/>
          <w:marRight w:val="0"/>
          <w:marTop w:val="0"/>
          <w:marBottom w:val="0"/>
          <w:divBdr>
            <w:top w:val="none" w:sz="0" w:space="0" w:color="auto"/>
            <w:left w:val="none" w:sz="0" w:space="0" w:color="auto"/>
            <w:bottom w:val="none" w:sz="0" w:space="0" w:color="auto"/>
            <w:right w:val="none" w:sz="0" w:space="0" w:color="auto"/>
          </w:divBdr>
        </w:div>
        <w:div w:id="1833791878">
          <w:marLeft w:val="0"/>
          <w:marRight w:val="0"/>
          <w:marTop w:val="0"/>
          <w:marBottom w:val="0"/>
          <w:divBdr>
            <w:top w:val="none" w:sz="0" w:space="0" w:color="auto"/>
            <w:left w:val="none" w:sz="0" w:space="0" w:color="auto"/>
            <w:bottom w:val="none" w:sz="0" w:space="0" w:color="auto"/>
            <w:right w:val="none" w:sz="0" w:space="0" w:color="auto"/>
          </w:divBdr>
        </w:div>
        <w:div w:id="1258755209">
          <w:marLeft w:val="0"/>
          <w:marRight w:val="0"/>
          <w:marTop w:val="0"/>
          <w:marBottom w:val="0"/>
          <w:divBdr>
            <w:top w:val="none" w:sz="0" w:space="0" w:color="auto"/>
            <w:left w:val="none" w:sz="0" w:space="0" w:color="auto"/>
            <w:bottom w:val="none" w:sz="0" w:space="0" w:color="auto"/>
            <w:right w:val="none" w:sz="0" w:space="0" w:color="auto"/>
          </w:divBdr>
        </w:div>
        <w:div w:id="1501894930">
          <w:marLeft w:val="0"/>
          <w:marRight w:val="0"/>
          <w:marTop w:val="0"/>
          <w:marBottom w:val="0"/>
          <w:divBdr>
            <w:top w:val="none" w:sz="0" w:space="0" w:color="auto"/>
            <w:left w:val="none" w:sz="0" w:space="0" w:color="auto"/>
            <w:bottom w:val="none" w:sz="0" w:space="0" w:color="auto"/>
            <w:right w:val="none" w:sz="0" w:space="0" w:color="auto"/>
          </w:divBdr>
        </w:div>
        <w:div w:id="1242715226">
          <w:marLeft w:val="0"/>
          <w:marRight w:val="0"/>
          <w:marTop w:val="0"/>
          <w:marBottom w:val="0"/>
          <w:divBdr>
            <w:top w:val="none" w:sz="0" w:space="0" w:color="auto"/>
            <w:left w:val="none" w:sz="0" w:space="0" w:color="auto"/>
            <w:bottom w:val="none" w:sz="0" w:space="0" w:color="auto"/>
            <w:right w:val="none" w:sz="0" w:space="0" w:color="auto"/>
          </w:divBdr>
        </w:div>
      </w:divsChild>
    </w:div>
    <w:div w:id="593516064">
      <w:bodyDiv w:val="1"/>
      <w:marLeft w:val="0"/>
      <w:marRight w:val="0"/>
      <w:marTop w:val="0"/>
      <w:marBottom w:val="0"/>
      <w:divBdr>
        <w:top w:val="none" w:sz="0" w:space="0" w:color="auto"/>
        <w:left w:val="none" w:sz="0" w:space="0" w:color="auto"/>
        <w:bottom w:val="none" w:sz="0" w:space="0" w:color="auto"/>
        <w:right w:val="none" w:sz="0" w:space="0" w:color="auto"/>
      </w:divBdr>
    </w:div>
    <w:div w:id="681125702">
      <w:bodyDiv w:val="1"/>
      <w:marLeft w:val="0"/>
      <w:marRight w:val="0"/>
      <w:marTop w:val="0"/>
      <w:marBottom w:val="0"/>
      <w:divBdr>
        <w:top w:val="none" w:sz="0" w:space="0" w:color="auto"/>
        <w:left w:val="none" w:sz="0" w:space="0" w:color="auto"/>
        <w:bottom w:val="none" w:sz="0" w:space="0" w:color="auto"/>
        <w:right w:val="none" w:sz="0" w:space="0" w:color="auto"/>
      </w:divBdr>
      <w:divsChild>
        <w:div w:id="649405154">
          <w:marLeft w:val="0"/>
          <w:marRight w:val="0"/>
          <w:marTop w:val="0"/>
          <w:marBottom w:val="0"/>
          <w:divBdr>
            <w:top w:val="none" w:sz="0" w:space="0" w:color="auto"/>
            <w:left w:val="none" w:sz="0" w:space="0" w:color="auto"/>
            <w:bottom w:val="none" w:sz="0" w:space="0" w:color="auto"/>
            <w:right w:val="none" w:sz="0" w:space="0" w:color="auto"/>
          </w:divBdr>
        </w:div>
        <w:div w:id="1477838391">
          <w:marLeft w:val="0"/>
          <w:marRight w:val="0"/>
          <w:marTop w:val="0"/>
          <w:marBottom w:val="0"/>
          <w:divBdr>
            <w:top w:val="none" w:sz="0" w:space="0" w:color="auto"/>
            <w:left w:val="none" w:sz="0" w:space="0" w:color="auto"/>
            <w:bottom w:val="none" w:sz="0" w:space="0" w:color="auto"/>
            <w:right w:val="none" w:sz="0" w:space="0" w:color="auto"/>
          </w:divBdr>
        </w:div>
        <w:div w:id="1891112429">
          <w:marLeft w:val="0"/>
          <w:marRight w:val="0"/>
          <w:marTop w:val="0"/>
          <w:marBottom w:val="0"/>
          <w:divBdr>
            <w:top w:val="none" w:sz="0" w:space="0" w:color="auto"/>
            <w:left w:val="none" w:sz="0" w:space="0" w:color="auto"/>
            <w:bottom w:val="none" w:sz="0" w:space="0" w:color="auto"/>
            <w:right w:val="none" w:sz="0" w:space="0" w:color="auto"/>
          </w:divBdr>
        </w:div>
        <w:div w:id="578909651">
          <w:marLeft w:val="0"/>
          <w:marRight w:val="0"/>
          <w:marTop w:val="0"/>
          <w:marBottom w:val="0"/>
          <w:divBdr>
            <w:top w:val="none" w:sz="0" w:space="0" w:color="auto"/>
            <w:left w:val="none" w:sz="0" w:space="0" w:color="auto"/>
            <w:bottom w:val="none" w:sz="0" w:space="0" w:color="auto"/>
            <w:right w:val="none" w:sz="0" w:space="0" w:color="auto"/>
          </w:divBdr>
        </w:div>
        <w:div w:id="1123692646">
          <w:marLeft w:val="0"/>
          <w:marRight w:val="0"/>
          <w:marTop w:val="0"/>
          <w:marBottom w:val="0"/>
          <w:divBdr>
            <w:top w:val="none" w:sz="0" w:space="0" w:color="auto"/>
            <w:left w:val="none" w:sz="0" w:space="0" w:color="auto"/>
            <w:bottom w:val="none" w:sz="0" w:space="0" w:color="auto"/>
            <w:right w:val="none" w:sz="0" w:space="0" w:color="auto"/>
          </w:divBdr>
        </w:div>
        <w:div w:id="1450736132">
          <w:marLeft w:val="0"/>
          <w:marRight w:val="0"/>
          <w:marTop w:val="0"/>
          <w:marBottom w:val="0"/>
          <w:divBdr>
            <w:top w:val="none" w:sz="0" w:space="0" w:color="auto"/>
            <w:left w:val="none" w:sz="0" w:space="0" w:color="auto"/>
            <w:bottom w:val="none" w:sz="0" w:space="0" w:color="auto"/>
            <w:right w:val="none" w:sz="0" w:space="0" w:color="auto"/>
          </w:divBdr>
        </w:div>
        <w:div w:id="481896251">
          <w:marLeft w:val="0"/>
          <w:marRight w:val="0"/>
          <w:marTop w:val="0"/>
          <w:marBottom w:val="0"/>
          <w:divBdr>
            <w:top w:val="none" w:sz="0" w:space="0" w:color="auto"/>
            <w:left w:val="none" w:sz="0" w:space="0" w:color="auto"/>
            <w:bottom w:val="none" w:sz="0" w:space="0" w:color="auto"/>
            <w:right w:val="none" w:sz="0" w:space="0" w:color="auto"/>
          </w:divBdr>
        </w:div>
        <w:div w:id="509877430">
          <w:marLeft w:val="0"/>
          <w:marRight w:val="0"/>
          <w:marTop w:val="0"/>
          <w:marBottom w:val="0"/>
          <w:divBdr>
            <w:top w:val="none" w:sz="0" w:space="0" w:color="auto"/>
            <w:left w:val="none" w:sz="0" w:space="0" w:color="auto"/>
            <w:bottom w:val="none" w:sz="0" w:space="0" w:color="auto"/>
            <w:right w:val="none" w:sz="0" w:space="0" w:color="auto"/>
          </w:divBdr>
        </w:div>
        <w:div w:id="154808583">
          <w:marLeft w:val="0"/>
          <w:marRight w:val="0"/>
          <w:marTop w:val="0"/>
          <w:marBottom w:val="0"/>
          <w:divBdr>
            <w:top w:val="none" w:sz="0" w:space="0" w:color="auto"/>
            <w:left w:val="none" w:sz="0" w:space="0" w:color="auto"/>
            <w:bottom w:val="none" w:sz="0" w:space="0" w:color="auto"/>
            <w:right w:val="none" w:sz="0" w:space="0" w:color="auto"/>
          </w:divBdr>
        </w:div>
        <w:div w:id="1686862194">
          <w:marLeft w:val="0"/>
          <w:marRight w:val="0"/>
          <w:marTop w:val="0"/>
          <w:marBottom w:val="0"/>
          <w:divBdr>
            <w:top w:val="none" w:sz="0" w:space="0" w:color="auto"/>
            <w:left w:val="none" w:sz="0" w:space="0" w:color="auto"/>
            <w:bottom w:val="none" w:sz="0" w:space="0" w:color="auto"/>
            <w:right w:val="none" w:sz="0" w:space="0" w:color="auto"/>
          </w:divBdr>
        </w:div>
        <w:div w:id="1225490117">
          <w:marLeft w:val="0"/>
          <w:marRight w:val="0"/>
          <w:marTop w:val="0"/>
          <w:marBottom w:val="0"/>
          <w:divBdr>
            <w:top w:val="none" w:sz="0" w:space="0" w:color="auto"/>
            <w:left w:val="none" w:sz="0" w:space="0" w:color="auto"/>
            <w:bottom w:val="none" w:sz="0" w:space="0" w:color="auto"/>
            <w:right w:val="none" w:sz="0" w:space="0" w:color="auto"/>
          </w:divBdr>
        </w:div>
        <w:div w:id="1766926601">
          <w:marLeft w:val="0"/>
          <w:marRight w:val="0"/>
          <w:marTop w:val="0"/>
          <w:marBottom w:val="0"/>
          <w:divBdr>
            <w:top w:val="none" w:sz="0" w:space="0" w:color="auto"/>
            <w:left w:val="none" w:sz="0" w:space="0" w:color="auto"/>
            <w:bottom w:val="none" w:sz="0" w:space="0" w:color="auto"/>
            <w:right w:val="none" w:sz="0" w:space="0" w:color="auto"/>
          </w:divBdr>
        </w:div>
        <w:div w:id="1463883383">
          <w:marLeft w:val="0"/>
          <w:marRight w:val="0"/>
          <w:marTop w:val="0"/>
          <w:marBottom w:val="0"/>
          <w:divBdr>
            <w:top w:val="none" w:sz="0" w:space="0" w:color="auto"/>
            <w:left w:val="none" w:sz="0" w:space="0" w:color="auto"/>
            <w:bottom w:val="none" w:sz="0" w:space="0" w:color="auto"/>
            <w:right w:val="none" w:sz="0" w:space="0" w:color="auto"/>
          </w:divBdr>
        </w:div>
        <w:div w:id="1672366492">
          <w:marLeft w:val="0"/>
          <w:marRight w:val="0"/>
          <w:marTop w:val="0"/>
          <w:marBottom w:val="0"/>
          <w:divBdr>
            <w:top w:val="none" w:sz="0" w:space="0" w:color="auto"/>
            <w:left w:val="none" w:sz="0" w:space="0" w:color="auto"/>
            <w:bottom w:val="none" w:sz="0" w:space="0" w:color="auto"/>
            <w:right w:val="none" w:sz="0" w:space="0" w:color="auto"/>
          </w:divBdr>
        </w:div>
        <w:div w:id="1968968947">
          <w:marLeft w:val="0"/>
          <w:marRight w:val="0"/>
          <w:marTop w:val="0"/>
          <w:marBottom w:val="0"/>
          <w:divBdr>
            <w:top w:val="none" w:sz="0" w:space="0" w:color="auto"/>
            <w:left w:val="none" w:sz="0" w:space="0" w:color="auto"/>
            <w:bottom w:val="none" w:sz="0" w:space="0" w:color="auto"/>
            <w:right w:val="none" w:sz="0" w:space="0" w:color="auto"/>
          </w:divBdr>
        </w:div>
        <w:div w:id="922761762">
          <w:marLeft w:val="0"/>
          <w:marRight w:val="0"/>
          <w:marTop w:val="0"/>
          <w:marBottom w:val="0"/>
          <w:divBdr>
            <w:top w:val="none" w:sz="0" w:space="0" w:color="auto"/>
            <w:left w:val="none" w:sz="0" w:space="0" w:color="auto"/>
            <w:bottom w:val="none" w:sz="0" w:space="0" w:color="auto"/>
            <w:right w:val="none" w:sz="0" w:space="0" w:color="auto"/>
          </w:divBdr>
        </w:div>
        <w:div w:id="1234850284">
          <w:marLeft w:val="0"/>
          <w:marRight w:val="0"/>
          <w:marTop w:val="0"/>
          <w:marBottom w:val="0"/>
          <w:divBdr>
            <w:top w:val="none" w:sz="0" w:space="0" w:color="auto"/>
            <w:left w:val="none" w:sz="0" w:space="0" w:color="auto"/>
            <w:bottom w:val="none" w:sz="0" w:space="0" w:color="auto"/>
            <w:right w:val="none" w:sz="0" w:space="0" w:color="auto"/>
          </w:divBdr>
        </w:div>
        <w:div w:id="1914507449">
          <w:marLeft w:val="0"/>
          <w:marRight w:val="0"/>
          <w:marTop w:val="0"/>
          <w:marBottom w:val="0"/>
          <w:divBdr>
            <w:top w:val="none" w:sz="0" w:space="0" w:color="auto"/>
            <w:left w:val="none" w:sz="0" w:space="0" w:color="auto"/>
            <w:bottom w:val="none" w:sz="0" w:space="0" w:color="auto"/>
            <w:right w:val="none" w:sz="0" w:space="0" w:color="auto"/>
          </w:divBdr>
        </w:div>
        <w:div w:id="171339211">
          <w:marLeft w:val="0"/>
          <w:marRight w:val="0"/>
          <w:marTop w:val="0"/>
          <w:marBottom w:val="0"/>
          <w:divBdr>
            <w:top w:val="none" w:sz="0" w:space="0" w:color="auto"/>
            <w:left w:val="none" w:sz="0" w:space="0" w:color="auto"/>
            <w:bottom w:val="none" w:sz="0" w:space="0" w:color="auto"/>
            <w:right w:val="none" w:sz="0" w:space="0" w:color="auto"/>
          </w:divBdr>
        </w:div>
        <w:div w:id="803234414">
          <w:marLeft w:val="0"/>
          <w:marRight w:val="0"/>
          <w:marTop w:val="0"/>
          <w:marBottom w:val="0"/>
          <w:divBdr>
            <w:top w:val="none" w:sz="0" w:space="0" w:color="auto"/>
            <w:left w:val="none" w:sz="0" w:space="0" w:color="auto"/>
            <w:bottom w:val="none" w:sz="0" w:space="0" w:color="auto"/>
            <w:right w:val="none" w:sz="0" w:space="0" w:color="auto"/>
          </w:divBdr>
        </w:div>
        <w:div w:id="1202939657">
          <w:marLeft w:val="0"/>
          <w:marRight w:val="0"/>
          <w:marTop w:val="0"/>
          <w:marBottom w:val="0"/>
          <w:divBdr>
            <w:top w:val="none" w:sz="0" w:space="0" w:color="auto"/>
            <w:left w:val="none" w:sz="0" w:space="0" w:color="auto"/>
            <w:bottom w:val="none" w:sz="0" w:space="0" w:color="auto"/>
            <w:right w:val="none" w:sz="0" w:space="0" w:color="auto"/>
          </w:divBdr>
        </w:div>
        <w:div w:id="1495804477">
          <w:marLeft w:val="0"/>
          <w:marRight w:val="0"/>
          <w:marTop w:val="0"/>
          <w:marBottom w:val="0"/>
          <w:divBdr>
            <w:top w:val="none" w:sz="0" w:space="0" w:color="auto"/>
            <w:left w:val="none" w:sz="0" w:space="0" w:color="auto"/>
            <w:bottom w:val="none" w:sz="0" w:space="0" w:color="auto"/>
            <w:right w:val="none" w:sz="0" w:space="0" w:color="auto"/>
          </w:divBdr>
        </w:div>
        <w:div w:id="132603222">
          <w:marLeft w:val="0"/>
          <w:marRight w:val="0"/>
          <w:marTop w:val="0"/>
          <w:marBottom w:val="0"/>
          <w:divBdr>
            <w:top w:val="none" w:sz="0" w:space="0" w:color="auto"/>
            <w:left w:val="none" w:sz="0" w:space="0" w:color="auto"/>
            <w:bottom w:val="none" w:sz="0" w:space="0" w:color="auto"/>
            <w:right w:val="none" w:sz="0" w:space="0" w:color="auto"/>
          </w:divBdr>
        </w:div>
        <w:div w:id="1335453391">
          <w:marLeft w:val="0"/>
          <w:marRight w:val="0"/>
          <w:marTop w:val="0"/>
          <w:marBottom w:val="0"/>
          <w:divBdr>
            <w:top w:val="none" w:sz="0" w:space="0" w:color="auto"/>
            <w:left w:val="none" w:sz="0" w:space="0" w:color="auto"/>
            <w:bottom w:val="none" w:sz="0" w:space="0" w:color="auto"/>
            <w:right w:val="none" w:sz="0" w:space="0" w:color="auto"/>
          </w:divBdr>
        </w:div>
        <w:div w:id="987825690">
          <w:marLeft w:val="0"/>
          <w:marRight w:val="0"/>
          <w:marTop w:val="0"/>
          <w:marBottom w:val="0"/>
          <w:divBdr>
            <w:top w:val="none" w:sz="0" w:space="0" w:color="auto"/>
            <w:left w:val="none" w:sz="0" w:space="0" w:color="auto"/>
            <w:bottom w:val="none" w:sz="0" w:space="0" w:color="auto"/>
            <w:right w:val="none" w:sz="0" w:space="0" w:color="auto"/>
          </w:divBdr>
        </w:div>
      </w:divsChild>
    </w:div>
    <w:div w:id="735661301">
      <w:bodyDiv w:val="1"/>
      <w:marLeft w:val="0"/>
      <w:marRight w:val="0"/>
      <w:marTop w:val="0"/>
      <w:marBottom w:val="0"/>
      <w:divBdr>
        <w:top w:val="none" w:sz="0" w:space="0" w:color="auto"/>
        <w:left w:val="none" w:sz="0" w:space="0" w:color="auto"/>
        <w:bottom w:val="none" w:sz="0" w:space="0" w:color="auto"/>
        <w:right w:val="none" w:sz="0" w:space="0" w:color="auto"/>
      </w:divBdr>
      <w:divsChild>
        <w:div w:id="1124740096">
          <w:marLeft w:val="0"/>
          <w:marRight w:val="0"/>
          <w:marTop w:val="0"/>
          <w:marBottom w:val="0"/>
          <w:divBdr>
            <w:top w:val="none" w:sz="0" w:space="0" w:color="auto"/>
            <w:left w:val="none" w:sz="0" w:space="0" w:color="auto"/>
            <w:bottom w:val="none" w:sz="0" w:space="0" w:color="auto"/>
            <w:right w:val="none" w:sz="0" w:space="0" w:color="auto"/>
          </w:divBdr>
        </w:div>
        <w:div w:id="419104988">
          <w:marLeft w:val="0"/>
          <w:marRight w:val="0"/>
          <w:marTop w:val="0"/>
          <w:marBottom w:val="0"/>
          <w:divBdr>
            <w:top w:val="none" w:sz="0" w:space="0" w:color="auto"/>
            <w:left w:val="none" w:sz="0" w:space="0" w:color="auto"/>
            <w:bottom w:val="none" w:sz="0" w:space="0" w:color="auto"/>
            <w:right w:val="none" w:sz="0" w:space="0" w:color="auto"/>
          </w:divBdr>
        </w:div>
        <w:div w:id="2055539132">
          <w:marLeft w:val="0"/>
          <w:marRight w:val="0"/>
          <w:marTop w:val="0"/>
          <w:marBottom w:val="0"/>
          <w:divBdr>
            <w:top w:val="none" w:sz="0" w:space="0" w:color="auto"/>
            <w:left w:val="none" w:sz="0" w:space="0" w:color="auto"/>
            <w:bottom w:val="none" w:sz="0" w:space="0" w:color="auto"/>
            <w:right w:val="none" w:sz="0" w:space="0" w:color="auto"/>
          </w:divBdr>
        </w:div>
        <w:div w:id="2108233989">
          <w:marLeft w:val="0"/>
          <w:marRight w:val="0"/>
          <w:marTop w:val="0"/>
          <w:marBottom w:val="0"/>
          <w:divBdr>
            <w:top w:val="none" w:sz="0" w:space="0" w:color="auto"/>
            <w:left w:val="none" w:sz="0" w:space="0" w:color="auto"/>
            <w:bottom w:val="none" w:sz="0" w:space="0" w:color="auto"/>
            <w:right w:val="none" w:sz="0" w:space="0" w:color="auto"/>
          </w:divBdr>
        </w:div>
        <w:div w:id="1815640448">
          <w:marLeft w:val="0"/>
          <w:marRight w:val="0"/>
          <w:marTop w:val="0"/>
          <w:marBottom w:val="0"/>
          <w:divBdr>
            <w:top w:val="none" w:sz="0" w:space="0" w:color="auto"/>
            <w:left w:val="none" w:sz="0" w:space="0" w:color="auto"/>
            <w:bottom w:val="none" w:sz="0" w:space="0" w:color="auto"/>
            <w:right w:val="none" w:sz="0" w:space="0" w:color="auto"/>
          </w:divBdr>
        </w:div>
        <w:div w:id="1627465774">
          <w:marLeft w:val="0"/>
          <w:marRight w:val="0"/>
          <w:marTop w:val="0"/>
          <w:marBottom w:val="0"/>
          <w:divBdr>
            <w:top w:val="none" w:sz="0" w:space="0" w:color="auto"/>
            <w:left w:val="none" w:sz="0" w:space="0" w:color="auto"/>
            <w:bottom w:val="none" w:sz="0" w:space="0" w:color="auto"/>
            <w:right w:val="none" w:sz="0" w:space="0" w:color="auto"/>
          </w:divBdr>
        </w:div>
        <w:div w:id="101533983">
          <w:marLeft w:val="0"/>
          <w:marRight w:val="0"/>
          <w:marTop w:val="0"/>
          <w:marBottom w:val="0"/>
          <w:divBdr>
            <w:top w:val="none" w:sz="0" w:space="0" w:color="auto"/>
            <w:left w:val="none" w:sz="0" w:space="0" w:color="auto"/>
            <w:bottom w:val="none" w:sz="0" w:space="0" w:color="auto"/>
            <w:right w:val="none" w:sz="0" w:space="0" w:color="auto"/>
          </w:divBdr>
        </w:div>
        <w:div w:id="920412760">
          <w:marLeft w:val="0"/>
          <w:marRight w:val="0"/>
          <w:marTop w:val="0"/>
          <w:marBottom w:val="0"/>
          <w:divBdr>
            <w:top w:val="none" w:sz="0" w:space="0" w:color="auto"/>
            <w:left w:val="none" w:sz="0" w:space="0" w:color="auto"/>
            <w:bottom w:val="none" w:sz="0" w:space="0" w:color="auto"/>
            <w:right w:val="none" w:sz="0" w:space="0" w:color="auto"/>
          </w:divBdr>
        </w:div>
        <w:div w:id="1662154805">
          <w:marLeft w:val="0"/>
          <w:marRight w:val="0"/>
          <w:marTop w:val="0"/>
          <w:marBottom w:val="0"/>
          <w:divBdr>
            <w:top w:val="none" w:sz="0" w:space="0" w:color="auto"/>
            <w:left w:val="none" w:sz="0" w:space="0" w:color="auto"/>
            <w:bottom w:val="none" w:sz="0" w:space="0" w:color="auto"/>
            <w:right w:val="none" w:sz="0" w:space="0" w:color="auto"/>
          </w:divBdr>
        </w:div>
        <w:div w:id="1051273520">
          <w:marLeft w:val="0"/>
          <w:marRight w:val="0"/>
          <w:marTop w:val="0"/>
          <w:marBottom w:val="0"/>
          <w:divBdr>
            <w:top w:val="none" w:sz="0" w:space="0" w:color="auto"/>
            <w:left w:val="none" w:sz="0" w:space="0" w:color="auto"/>
            <w:bottom w:val="none" w:sz="0" w:space="0" w:color="auto"/>
            <w:right w:val="none" w:sz="0" w:space="0" w:color="auto"/>
          </w:divBdr>
        </w:div>
        <w:div w:id="717358014">
          <w:marLeft w:val="0"/>
          <w:marRight w:val="0"/>
          <w:marTop w:val="0"/>
          <w:marBottom w:val="0"/>
          <w:divBdr>
            <w:top w:val="none" w:sz="0" w:space="0" w:color="auto"/>
            <w:left w:val="none" w:sz="0" w:space="0" w:color="auto"/>
            <w:bottom w:val="none" w:sz="0" w:space="0" w:color="auto"/>
            <w:right w:val="none" w:sz="0" w:space="0" w:color="auto"/>
          </w:divBdr>
        </w:div>
        <w:div w:id="219635897">
          <w:marLeft w:val="0"/>
          <w:marRight w:val="0"/>
          <w:marTop w:val="0"/>
          <w:marBottom w:val="0"/>
          <w:divBdr>
            <w:top w:val="none" w:sz="0" w:space="0" w:color="auto"/>
            <w:left w:val="none" w:sz="0" w:space="0" w:color="auto"/>
            <w:bottom w:val="none" w:sz="0" w:space="0" w:color="auto"/>
            <w:right w:val="none" w:sz="0" w:space="0" w:color="auto"/>
          </w:divBdr>
        </w:div>
        <w:div w:id="1226722004">
          <w:marLeft w:val="0"/>
          <w:marRight w:val="0"/>
          <w:marTop w:val="0"/>
          <w:marBottom w:val="0"/>
          <w:divBdr>
            <w:top w:val="none" w:sz="0" w:space="0" w:color="auto"/>
            <w:left w:val="none" w:sz="0" w:space="0" w:color="auto"/>
            <w:bottom w:val="none" w:sz="0" w:space="0" w:color="auto"/>
            <w:right w:val="none" w:sz="0" w:space="0" w:color="auto"/>
          </w:divBdr>
        </w:div>
        <w:div w:id="1075395222">
          <w:marLeft w:val="0"/>
          <w:marRight w:val="0"/>
          <w:marTop w:val="0"/>
          <w:marBottom w:val="0"/>
          <w:divBdr>
            <w:top w:val="none" w:sz="0" w:space="0" w:color="auto"/>
            <w:left w:val="none" w:sz="0" w:space="0" w:color="auto"/>
            <w:bottom w:val="none" w:sz="0" w:space="0" w:color="auto"/>
            <w:right w:val="none" w:sz="0" w:space="0" w:color="auto"/>
          </w:divBdr>
        </w:div>
        <w:div w:id="617957157">
          <w:marLeft w:val="0"/>
          <w:marRight w:val="0"/>
          <w:marTop w:val="0"/>
          <w:marBottom w:val="0"/>
          <w:divBdr>
            <w:top w:val="none" w:sz="0" w:space="0" w:color="auto"/>
            <w:left w:val="none" w:sz="0" w:space="0" w:color="auto"/>
            <w:bottom w:val="none" w:sz="0" w:space="0" w:color="auto"/>
            <w:right w:val="none" w:sz="0" w:space="0" w:color="auto"/>
          </w:divBdr>
        </w:div>
        <w:div w:id="1947039238">
          <w:marLeft w:val="0"/>
          <w:marRight w:val="0"/>
          <w:marTop w:val="0"/>
          <w:marBottom w:val="0"/>
          <w:divBdr>
            <w:top w:val="none" w:sz="0" w:space="0" w:color="auto"/>
            <w:left w:val="none" w:sz="0" w:space="0" w:color="auto"/>
            <w:bottom w:val="none" w:sz="0" w:space="0" w:color="auto"/>
            <w:right w:val="none" w:sz="0" w:space="0" w:color="auto"/>
          </w:divBdr>
        </w:div>
        <w:div w:id="1848792618">
          <w:marLeft w:val="0"/>
          <w:marRight w:val="0"/>
          <w:marTop w:val="0"/>
          <w:marBottom w:val="0"/>
          <w:divBdr>
            <w:top w:val="none" w:sz="0" w:space="0" w:color="auto"/>
            <w:left w:val="none" w:sz="0" w:space="0" w:color="auto"/>
            <w:bottom w:val="none" w:sz="0" w:space="0" w:color="auto"/>
            <w:right w:val="none" w:sz="0" w:space="0" w:color="auto"/>
          </w:divBdr>
        </w:div>
        <w:div w:id="694768739">
          <w:marLeft w:val="0"/>
          <w:marRight w:val="0"/>
          <w:marTop w:val="0"/>
          <w:marBottom w:val="0"/>
          <w:divBdr>
            <w:top w:val="none" w:sz="0" w:space="0" w:color="auto"/>
            <w:left w:val="none" w:sz="0" w:space="0" w:color="auto"/>
            <w:bottom w:val="none" w:sz="0" w:space="0" w:color="auto"/>
            <w:right w:val="none" w:sz="0" w:space="0" w:color="auto"/>
          </w:divBdr>
        </w:div>
        <w:div w:id="56784109">
          <w:marLeft w:val="0"/>
          <w:marRight w:val="0"/>
          <w:marTop w:val="0"/>
          <w:marBottom w:val="0"/>
          <w:divBdr>
            <w:top w:val="none" w:sz="0" w:space="0" w:color="auto"/>
            <w:left w:val="none" w:sz="0" w:space="0" w:color="auto"/>
            <w:bottom w:val="none" w:sz="0" w:space="0" w:color="auto"/>
            <w:right w:val="none" w:sz="0" w:space="0" w:color="auto"/>
          </w:divBdr>
        </w:div>
        <w:div w:id="1309868292">
          <w:marLeft w:val="0"/>
          <w:marRight w:val="0"/>
          <w:marTop w:val="0"/>
          <w:marBottom w:val="0"/>
          <w:divBdr>
            <w:top w:val="none" w:sz="0" w:space="0" w:color="auto"/>
            <w:left w:val="none" w:sz="0" w:space="0" w:color="auto"/>
            <w:bottom w:val="none" w:sz="0" w:space="0" w:color="auto"/>
            <w:right w:val="none" w:sz="0" w:space="0" w:color="auto"/>
          </w:divBdr>
        </w:div>
        <w:div w:id="1814910249">
          <w:marLeft w:val="0"/>
          <w:marRight w:val="0"/>
          <w:marTop w:val="0"/>
          <w:marBottom w:val="0"/>
          <w:divBdr>
            <w:top w:val="none" w:sz="0" w:space="0" w:color="auto"/>
            <w:left w:val="none" w:sz="0" w:space="0" w:color="auto"/>
            <w:bottom w:val="none" w:sz="0" w:space="0" w:color="auto"/>
            <w:right w:val="none" w:sz="0" w:space="0" w:color="auto"/>
          </w:divBdr>
        </w:div>
        <w:div w:id="540097024">
          <w:marLeft w:val="0"/>
          <w:marRight w:val="0"/>
          <w:marTop w:val="0"/>
          <w:marBottom w:val="0"/>
          <w:divBdr>
            <w:top w:val="none" w:sz="0" w:space="0" w:color="auto"/>
            <w:left w:val="none" w:sz="0" w:space="0" w:color="auto"/>
            <w:bottom w:val="none" w:sz="0" w:space="0" w:color="auto"/>
            <w:right w:val="none" w:sz="0" w:space="0" w:color="auto"/>
          </w:divBdr>
        </w:div>
      </w:divsChild>
    </w:div>
    <w:div w:id="739402267">
      <w:bodyDiv w:val="1"/>
      <w:marLeft w:val="0"/>
      <w:marRight w:val="0"/>
      <w:marTop w:val="0"/>
      <w:marBottom w:val="0"/>
      <w:divBdr>
        <w:top w:val="none" w:sz="0" w:space="0" w:color="auto"/>
        <w:left w:val="none" w:sz="0" w:space="0" w:color="auto"/>
        <w:bottom w:val="none" w:sz="0" w:space="0" w:color="auto"/>
        <w:right w:val="none" w:sz="0" w:space="0" w:color="auto"/>
      </w:divBdr>
      <w:divsChild>
        <w:div w:id="2017462947">
          <w:marLeft w:val="0"/>
          <w:marRight w:val="0"/>
          <w:marTop w:val="0"/>
          <w:marBottom w:val="0"/>
          <w:divBdr>
            <w:top w:val="none" w:sz="0" w:space="0" w:color="auto"/>
            <w:left w:val="none" w:sz="0" w:space="0" w:color="auto"/>
            <w:bottom w:val="none" w:sz="0" w:space="0" w:color="auto"/>
            <w:right w:val="none" w:sz="0" w:space="0" w:color="auto"/>
          </w:divBdr>
          <w:divsChild>
            <w:div w:id="762532566">
              <w:marLeft w:val="0"/>
              <w:marRight w:val="0"/>
              <w:marTop w:val="0"/>
              <w:marBottom w:val="0"/>
              <w:divBdr>
                <w:top w:val="none" w:sz="0" w:space="0" w:color="auto"/>
                <w:left w:val="none" w:sz="0" w:space="0" w:color="auto"/>
                <w:bottom w:val="none" w:sz="0" w:space="0" w:color="auto"/>
                <w:right w:val="none" w:sz="0" w:space="0" w:color="auto"/>
              </w:divBdr>
              <w:divsChild>
                <w:div w:id="834304850">
                  <w:marLeft w:val="0"/>
                  <w:marRight w:val="0"/>
                  <w:marTop w:val="0"/>
                  <w:marBottom w:val="0"/>
                  <w:divBdr>
                    <w:top w:val="none" w:sz="0" w:space="0" w:color="auto"/>
                    <w:left w:val="none" w:sz="0" w:space="0" w:color="auto"/>
                    <w:bottom w:val="none" w:sz="0" w:space="0" w:color="auto"/>
                    <w:right w:val="none" w:sz="0" w:space="0" w:color="auto"/>
                  </w:divBdr>
                  <w:divsChild>
                    <w:div w:id="1472550649">
                      <w:marLeft w:val="0"/>
                      <w:marRight w:val="0"/>
                      <w:marTop w:val="0"/>
                      <w:marBottom w:val="0"/>
                      <w:divBdr>
                        <w:top w:val="none" w:sz="0" w:space="0" w:color="auto"/>
                        <w:left w:val="none" w:sz="0" w:space="0" w:color="auto"/>
                        <w:bottom w:val="none" w:sz="0" w:space="0" w:color="auto"/>
                        <w:right w:val="none" w:sz="0" w:space="0" w:color="auto"/>
                      </w:divBdr>
                      <w:divsChild>
                        <w:div w:id="587617658">
                          <w:marLeft w:val="0"/>
                          <w:marRight w:val="0"/>
                          <w:marTop w:val="0"/>
                          <w:marBottom w:val="0"/>
                          <w:divBdr>
                            <w:top w:val="none" w:sz="0" w:space="0" w:color="auto"/>
                            <w:left w:val="none" w:sz="0" w:space="0" w:color="auto"/>
                            <w:bottom w:val="none" w:sz="0" w:space="0" w:color="auto"/>
                            <w:right w:val="none" w:sz="0" w:space="0" w:color="auto"/>
                          </w:divBdr>
                          <w:divsChild>
                            <w:div w:id="684020743">
                              <w:marLeft w:val="0"/>
                              <w:marRight w:val="0"/>
                              <w:marTop w:val="0"/>
                              <w:marBottom w:val="0"/>
                              <w:divBdr>
                                <w:top w:val="none" w:sz="0" w:space="0" w:color="auto"/>
                                <w:left w:val="none" w:sz="0" w:space="0" w:color="auto"/>
                                <w:bottom w:val="none" w:sz="0" w:space="0" w:color="auto"/>
                                <w:right w:val="none" w:sz="0" w:space="0" w:color="auto"/>
                              </w:divBdr>
                              <w:divsChild>
                                <w:div w:id="633952296">
                                  <w:marLeft w:val="0"/>
                                  <w:marRight w:val="0"/>
                                  <w:marTop w:val="0"/>
                                  <w:marBottom w:val="0"/>
                                  <w:divBdr>
                                    <w:top w:val="none" w:sz="0" w:space="0" w:color="auto"/>
                                    <w:left w:val="none" w:sz="0" w:space="0" w:color="auto"/>
                                    <w:bottom w:val="none" w:sz="0" w:space="0" w:color="auto"/>
                                    <w:right w:val="none" w:sz="0" w:space="0" w:color="auto"/>
                                  </w:divBdr>
                                  <w:divsChild>
                                    <w:div w:id="1248466780">
                                      <w:marLeft w:val="0"/>
                                      <w:marRight w:val="0"/>
                                      <w:marTop w:val="0"/>
                                      <w:marBottom w:val="0"/>
                                      <w:divBdr>
                                        <w:top w:val="none" w:sz="0" w:space="0" w:color="auto"/>
                                        <w:left w:val="none" w:sz="0" w:space="0" w:color="auto"/>
                                        <w:bottom w:val="none" w:sz="0" w:space="0" w:color="auto"/>
                                        <w:right w:val="none" w:sz="0" w:space="0" w:color="auto"/>
                                      </w:divBdr>
                                      <w:divsChild>
                                        <w:div w:id="547110661">
                                          <w:marLeft w:val="0"/>
                                          <w:marRight w:val="0"/>
                                          <w:marTop w:val="0"/>
                                          <w:marBottom w:val="0"/>
                                          <w:divBdr>
                                            <w:top w:val="none" w:sz="0" w:space="0" w:color="auto"/>
                                            <w:left w:val="none" w:sz="0" w:space="0" w:color="auto"/>
                                            <w:bottom w:val="none" w:sz="0" w:space="0" w:color="auto"/>
                                            <w:right w:val="none" w:sz="0" w:space="0" w:color="auto"/>
                                          </w:divBdr>
                                          <w:divsChild>
                                            <w:div w:id="996306405">
                                              <w:marLeft w:val="0"/>
                                              <w:marRight w:val="0"/>
                                              <w:marTop w:val="0"/>
                                              <w:marBottom w:val="0"/>
                                              <w:divBdr>
                                                <w:top w:val="none" w:sz="0" w:space="0" w:color="auto"/>
                                                <w:left w:val="none" w:sz="0" w:space="0" w:color="auto"/>
                                                <w:bottom w:val="none" w:sz="0" w:space="0" w:color="auto"/>
                                                <w:right w:val="none" w:sz="0" w:space="0" w:color="auto"/>
                                              </w:divBdr>
                                              <w:divsChild>
                                                <w:div w:id="767970234">
                                                  <w:marLeft w:val="0"/>
                                                  <w:marRight w:val="0"/>
                                                  <w:marTop w:val="0"/>
                                                  <w:marBottom w:val="0"/>
                                                  <w:divBdr>
                                                    <w:top w:val="none" w:sz="0" w:space="0" w:color="auto"/>
                                                    <w:left w:val="none" w:sz="0" w:space="0" w:color="auto"/>
                                                    <w:bottom w:val="none" w:sz="0" w:space="0" w:color="auto"/>
                                                    <w:right w:val="none" w:sz="0" w:space="0" w:color="auto"/>
                                                  </w:divBdr>
                                                  <w:divsChild>
                                                    <w:div w:id="1276130419">
                                                      <w:marLeft w:val="0"/>
                                                      <w:marRight w:val="0"/>
                                                      <w:marTop w:val="0"/>
                                                      <w:marBottom w:val="0"/>
                                                      <w:divBdr>
                                                        <w:top w:val="none" w:sz="0" w:space="0" w:color="auto"/>
                                                        <w:left w:val="none" w:sz="0" w:space="0" w:color="auto"/>
                                                        <w:bottom w:val="none" w:sz="0" w:space="0" w:color="auto"/>
                                                        <w:right w:val="none" w:sz="0" w:space="0" w:color="auto"/>
                                                      </w:divBdr>
                                                      <w:divsChild>
                                                        <w:div w:id="620265026">
                                                          <w:marLeft w:val="0"/>
                                                          <w:marRight w:val="0"/>
                                                          <w:marTop w:val="0"/>
                                                          <w:marBottom w:val="0"/>
                                                          <w:divBdr>
                                                            <w:top w:val="none" w:sz="0" w:space="0" w:color="auto"/>
                                                            <w:left w:val="none" w:sz="0" w:space="0" w:color="auto"/>
                                                            <w:bottom w:val="none" w:sz="0" w:space="0" w:color="auto"/>
                                                            <w:right w:val="none" w:sz="0" w:space="0" w:color="auto"/>
                                                          </w:divBdr>
                                                          <w:divsChild>
                                                            <w:div w:id="63260717">
                                                              <w:marLeft w:val="0"/>
                                                              <w:marRight w:val="0"/>
                                                              <w:marTop w:val="0"/>
                                                              <w:marBottom w:val="0"/>
                                                              <w:divBdr>
                                                                <w:top w:val="none" w:sz="0" w:space="0" w:color="auto"/>
                                                                <w:left w:val="none" w:sz="0" w:space="0" w:color="auto"/>
                                                                <w:bottom w:val="none" w:sz="0" w:space="0" w:color="auto"/>
                                                                <w:right w:val="none" w:sz="0" w:space="0" w:color="auto"/>
                                                              </w:divBdr>
                                                              <w:divsChild>
                                                                <w:div w:id="1828596906">
                                                                  <w:marLeft w:val="0"/>
                                                                  <w:marRight w:val="0"/>
                                                                  <w:marTop w:val="0"/>
                                                                  <w:marBottom w:val="0"/>
                                                                  <w:divBdr>
                                                                    <w:top w:val="none" w:sz="0" w:space="0" w:color="auto"/>
                                                                    <w:left w:val="none" w:sz="0" w:space="0" w:color="auto"/>
                                                                    <w:bottom w:val="none" w:sz="0" w:space="0" w:color="auto"/>
                                                                    <w:right w:val="none" w:sz="0" w:space="0" w:color="auto"/>
                                                                  </w:divBdr>
                                                                </w:div>
                                                              </w:divsChild>
                                                            </w:div>
                                                            <w:div w:id="346717560">
                                                              <w:marLeft w:val="0"/>
                                                              <w:marRight w:val="0"/>
                                                              <w:marTop w:val="0"/>
                                                              <w:marBottom w:val="0"/>
                                                              <w:divBdr>
                                                                <w:top w:val="none" w:sz="0" w:space="0" w:color="auto"/>
                                                                <w:left w:val="none" w:sz="0" w:space="0" w:color="auto"/>
                                                                <w:bottom w:val="none" w:sz="0" w:space="0" w:color="auto"/>
                                                                <w:right w:val="none" w:sz="0" w:space="0" w:color="auto"/>
                                                              </w:divBdr>
                                                              <w:divsChild>
                                                                <w:div w:id="2134012643">
                                                                  <w:marLeft w:val="0"/>
                                                                  <w:marRight w:val="0"/>
                                                                  <w:marTop w:val="0"/>
                                                                  <w:marBottom w:val="0"/>
                                                                  <w:divBdr>
                                                                    <w:top w:val="none" w:sz="0" w:space="0" w:color="auto"/>
                                                                    <w:left w:val="none" w:sz="0" w:space="0" w:color="auto"/>
                                                                    <w:bottom w:val="none" w:sz="0" w:space="0" w:color="auto"/>
                                                                    <w:right w:val="none" w:sz="0" w:space="0" w:color="auto"/>
                                                                  </w:divBdr>
                                                                  <w:divsChild>
                                                                    <w:div w:id="241523962">
                                                                      <w:marLeft w:val="0"/>
                                                                      <w:marRight w:val="0"/>
                                                                      <w:marTop w:val="0"/>
                                                                      <w:marBottom w:val="0"/>
                                                                      <w:divBdr>
                                                                        <w:top w:val="none" w:sz="0" w:space="0" w:color="auto"/>
                                                                        <w:left w:val="none" w:sz="0" w:space="0" w:color="auto"/>
                                                                        <w:bottom w:val="none" w:sz="0" w:space="0" w:color="auto"/>
                                                                        <w:right w:val="none" w:sz="0" w:space="0" w:color="auto"/>
                                                                      </w:divBdr>
                                                                      <w:divsChild>
                                                                        <w:div w:id="1989894221">
                                                                          <w:marLeft w:val="0"/>
                                                                          <w:marRight w:val="0"/>
                                                                          <w:marTop w:val="0"/>
                                                                          <w:marBottom w:val="0"/>
                                                                          <w:divBdr>
                                                                            <w:top w:val="none" w:sz="0" w:space="0" w:color="auto"/>
                                                                            <w:left w:val="none" w:sz="0" w:space="0" w:color="auto"/>
                                                                            <w:bottom w:val="none" w:sz="0" w:space="0" w:color="auto"/>
                                                                            <w:right w:val="none" w:sz="0" w:space="0" w:color="auto"/>
                                                                          </w:divBdr>
                                                                          <w:divsChild>
                                                                            <w:div w:id="2003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18185">
      <w:bodyDiv w:val="1"/>
      <w:marLeft w:val="0"/>
      <w:marRight w:val="0"/>
      <w:marTop w:val="0"/>
      <w:marBottom w:val="0"/>
      <w:divBdr>
        <w:top w:val="none" w:sz="0" w:space="0" w:color="auto"/>
        <w:left w:val="none" w:sz="0" w:space="0" w:color="auto"/>
        <w:bottom w:val="none" w:sz="0" w:space="0" w:color="auto"/>
        <w:right w:val="none" w:sz="0" w:space="0" w:color="auto"/>
      </w:divBdr>
    </w:div>
    <w:div w:id="885140233">
      <w:bodyDiv w:val="1"/>
      <w:marLeft w:val="0"/>
      <w:marRight w:val="0"/>
      <w:marTop w:val="0"/>
      <w:marBottom w:val="0"/>
      <w:divBdr>
        <w:top w:val="none" w:sz="0" w:space="0" w:color="auto"/>
        <w:left w:val="none" w:sz="0" w:space="0" w:color="auto"/>
        <w:bottom w:val="none" w:sz="0" w:space="0" w:color="auto"/>
        <w:right w:val="none" w:sz="0" w:space="0" w:color="auto"/>
      </w:divBdr>
    </w:div>
    <w:div w:id="906064660">
      <w:bodyDiv w:val="1"/>
      <w:marLeft w:val="0"/>
      <w:marRight w:val="0"/>
      <w:marTop w:val="0"/>
      <w:marBottom w:val="0"/>
      <w:divBdr>
        <w:top w:val="none" w:sz="0" w:space="0" w:color="auto"/>
        <w:left w:val="none" w:sz="0" w:space="0" w:color="auto"/>
        <w:bottom w:val="none" w:sz="0" w:space="0" w:color="auto"/>
        <w:right w:val="none" w:sz="0" w:space="0" w:color="auto"/>
      </w:divBdr>
      <w:divsChild>
        <w:div w:id="821193837">
          <w:marLeft w:val="0"/>
          <w:marRight w:val="0"/>
          <w:marTop w:val="15"/>
          <w:marBottom w:val="0"/>
          <w:divBdr>
            <w:top w:val="single" w:sz="6" w:space="0" w:color="B6BBBF"/>
            <w:left w:val="none" w:sz="0" w:space="0" w:color="auto"/>
            <w:bottom w:val="none" w:sz="0" w:space="0" w:color="auto"/>
            <w:right w:val="none" w:sz="0" w:space="0" w:color="auto"/>
          </w:divBdr>
          <w:divsChild>
            <w:div w:id="546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463">
      <w:bodyDiv w:val="1"/>
      <w:marLeft w:val="0"/>
      <w:marRight w:val="0"/>
      <w:marTop w:val="0"/>
      <w:marBottom w:val="0"/>
      <w:divBdr>
        <w:top w:val="none" w:sz="0" w:space="0" w:color="auto"/>
        <w:left w:val="none" w:sz="0" w:space="0" w:color="auto"/>
        <w:bottom w:val="none" w:sz="0" w:space="0" w:color="auto"/>
        <w:right w:val="none" w:sz="0" w:space="0" w:color="auto"/>
      </w:divBdr>
    </w:div>
    <w:div w:id="1068721980">
      <w:bodyDiv w:val="1"/>
      <w:marLeft w:val="0"/>
      <w:marRight w:val="0"/>
      <w:marTop w:val="0"/>
      <w:marBottom w:val="0"/>
      <w:divBdr>
        <w:top w:val="none" w:sz="0" w:space="0" w:color="auto"/>
        <w:left w:val="none" w:sz="0" w:space="0" w:color="auto"/>
        <w:bottom w:val="none" w:sz="0" w:space="0" w:color="auto"/>
        <w:right w:val="none" w:sz="0" w:space="0" w:color="auto"/>
      </w:divBdr>
      <w:divsChild>
        <w:div w:id="1962611054">
          <w:marLeft w:val="0"/>
          <w:marRight w:val="0"/>
          <w:marTop w:val="15"/>
          <w:marBottom w:val="0"/>
          <w:divBdr>
            <w:top w:val="single" w:sz="6" w:space="0" w:color="B6BBBF"/>
            <w:left w:val="none" w:sz="0" w:space="0" w:color="auto"/>
            <w:bottom w:val="none" w:sz="0" w:space="0" w:color="auto"/>
            <w:right w:val="none" w:sz="0" w:space="0" w:color="auto"/>
          </w:divBdr>
          <w:divsChild>
            <w:div w:id="10337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644">
      <w:bodyDiv w:val="1"/>
      <w:marLeft w:val="0"/>
      <w:marRight w:val="0"/>
      <w:marTop w:val="0"/>
      <w:marBottom w:val="0"/>
      <w:divBdr>
        <w:top w:val="none" w:sz="0" w:space="0" w:color="auto"/>
        <w:left w:val="none" w:sz="0" w:space="0" w:color="auto"/>
        <w:bottom w:val="none" w:sz="0" w:space="0" w:color="auto"/>
        <w:right w:val="none" w:sz="0" w:space="0" w:color="auto"/>
      </w:divBdr>
      <w:divsChild>
        <w:div w:id="864251034">
          <w:marLeft w:val="0"/>
          <w:marRight w:val="0"/>
          <w:marTop w:val="0"/>
          <w:marBottom w:val="0"/>
          <w:divBdr>
            <w:top w:val="none" w:sz="0" w:space="0" w:color="auto"/>
            <w:left w:val="none" w:sz="0" w:space="0" w:color="auto"/>
            <w:bottom w:val="none" w:sz="0" w:space="0" w:color="auto"/>
            <w:right w:val="none" w:sz="0" w:space="0" w:color="auto"/>
          </w:divBdr>
        </w:div>
        <w:div w:id="1937324907">
          <w:marLeft w:val="0"/>
          <w:marRight w:val="0"/>
          <w:marTop w:val="0"/>
          <w:marBottom w:val="0"/>
          <w:divBdr>
            <w:top w:val="none" w:sz="0" w:space="0" w:color="auto"/>
            <w:left w:val="none" w:sz="0" w:space="0" w:color="auto"/>
            <w:bottom w:val="none" w:sz="0" w:space="0" w:color="auto"/>
            <w:right w:val="none" w:sz="0" w:space="0" w:color="auto"/>
          </w:divBdr>
        </w:div>
        <w:div w:id="533494604">
          <w:marLeft w:val="720"/>
          <w:marRight w:val="0"/>
          <w:marTop w:val="0"/>
          <w:marBottom w:val="0"/>
          <w:divBdr>
            <w:top w:val="none" w:sz="0" w:space="0" w:color="auto"/>
            <w:left w:val="none" w:sz="0" w:space="0" w:color="auto"/>
            <w:bottom w:val="none" w:sz="0" w:space="0" w:color="auto"/>
            <w:right w:val="none" w:sz="0" w:space="0" w:color="auto"/>
          </w:divBdr>
        </w:div>
        <w:div w:id="914824054">
          <w:marLeft w:val="720"/>
          <w:marRight w:val="0"/>
          <w:marTop w:val="0"/>
          <w:marBottom w:val="0"/>
          <w:divBdr>
            <w:top w:val="none" w:sz="0" w:space="0" w:color="auto"/>
            <w:left w:val="none" w:sz="0" w:space="0" w:color="auto"/>
            <w:bottom w:val="none" w:sz="0" w:space="0" w:color="auto"/>
            <w:right w:val="none" w:sz="0" w:space="0" w:color="auto"/>
          </w:divBdr>
        </w:div>
        <w:div w:id="149450184">
          <w:marLeft w:val="720"/>
          <w:marRight w:val="0"/>
          <w:marTop w:val="0"/>
          <w:marBottom w:val="0"/>
          <w:divBdr>
            <w:top w:val="none" w:sz="0" w:space="0" w:color="auto"/>
            <w:left w:val="none" w:sz="0" w:space="0" w:color="auto"/>
            <w:bottom w:val="none" w:sz="0" w:space="0" w:color="auto"/>
            <w:right w:val="none" w:sz="0" w:space="0" w:color="auto"/>
          </w:divBdr>
        </w:div>
      </w:divsChild>
    </w:div>
    <w:div w:id="1160119761">
      <w:bodyDiv w:val="1"/>
      <w:marLeft w:val="0"/>
      <w:marRight w:val="0"/>
      <w:marTop w:val="0"/>
      <w:marBottom w:val="0"/>
      <w:divBdr>
        <w:top w:val="none" w:sz="0" w:space="0" w:color="auto"/>
        <w:left w:val="none" w:sz="0" w:space="0" w:color="auto"/>
        <w:bottom w:val="none" w:sz="0" w:space="0" w:color="auto"/>
        <w:right w:val="none" w:sz="0" w:space="0" w:color="auto"/>
      </w:divBdr>
    </w:div>
    <w:div w:id="1214002226">
      <w:bodyDiv w:val="1"/>
      <w:marLeft w:val="0"/>
      <w:marRight w:val="0"/>
      <w:marTop w:val="0"/>
      <w:marBottom w:val="0"/>
      <w:divBdr>
        <w:top w:val="none" w:sz="0" w:space="0" w:color="auto"/>
        <w:left w:val="none" w:sz="0" w:space="0" w:color="auto"/>
        <w:bottom w:val="none" w:sz="0" w:space="0" w:color="auto"/>
        <w:right w:val="none" w:sz="0" w:space="0" w:color="auto"/>
      </w:divBdr>
    </w:div>
    <w:div w:id="1235433298">
      <w:bodyDiv w:val="1"/>
      <w:marLeft w:val="0"/>
      <w:marRight w:val="0"/>
      <w:marTop w:val="0"/>
      <w:marBottom w:val="0"/>
      <w:divBdr>
        <w:top w:val="none" w:sz="0" w:space="0" w:color="auto"/>
        <w:left w:val="none" w:sz="0" w:space="0" w:color="auto"/>
        <w:bottom w:val="none" w:sz="0" w:space="0" w:color="auto"/>
        <w:right w:val="none" w:sz="0" w:space="0" w:color="auto"/>
      </w:divBdr>
    </w:div>
    <w:div w:id="1255894727">
      <w:bodyDiv w:val="1"/>
      <w:marLeft w:val="0"/>
      <w:marRight w:val="0"/>
      <w:marTop w:val="0"/>
      <w:marBottom w:val="0"/>
      <w:divBdr>
        <w:top w:val="none" w:sz="0" w:space="0" w:color="auto"/>
        <w:left w:val="none" w:sz="0" w:space="0" w:color="auto"/>
        <w:bottom w:val="none" w:sz="0" w:space="0" w:color="auto"/>
        <w:right w:val="none" w:sz="0" w:space="0" w:color="auto"/>
      </w:divBdr>
    </w:div>
    <w:div w:id="1437748757">
      <w:bodyDiv w:val="1"/>
      <w:marLeft w:val="0"/>
      <w:marRight w:val="0"/>
      <w:marTop w:val="0"/>
      <w:marBottom w:val="0"/>
      <w:divBdr>
        <w:top w:val="none" w:sz="0" w:space="0" w:color="auto"/>
        <w:left w:val="none" w:sz="0" w:space="0" w:color="auto"/>
        <w:bottom w:val="none" w:sz="0" w:space="0" w:color="auto"/>
        <w:right w:val="none" w:sz="0" w:space="0" w:color="auto"/>
      </w:divBdr>
    </w:div>
    <w:div w:id="1460764187">
      <w:bodyDiv w:val="1"/>
      <w:marLeft w:val="0"/>
      <w:marRight w:val="0"/>
      <w:marTop w:val="0"/>
      <w:marBottom w:val="0"/>
      <w:divBdr>
        <w:top w:val="none" w:sz="0" w:space="0" w:color="auto"/>
        <w:left w:val="none" w:sz="0" w:space="0" w:color="auto"/>
        <w:bottom w:val="none" w:sz="0" w:space="0" w:color="auto"/>
        <w:right w:val="none" w:sz="0" w:space="0" w:color="auto"/>
      </w:divBdr>
    </w:div>
    <w:div w:id="1520124616">
      <w:bodyDiv w:val="1"/>
      <w:marLeft w:val="0"/>
      <w:marRight w:val="0"/>
      <w:marTop w:val="0"/>
      <w:marBottom w:val="0"/>
      <w:divBdr>
        <w:top w:val="none" w:sz="0" w:space="0" w:color="auto"/>
        <w:left w:val="none" w:sz="0" w:space="0" w:color="auto"/>
        <w:bottom w:val="none" w:sz="0" w:space="0" w:color="auto"/>
        <w:right w:val="none" w:sz="0" w:space="0" w:color="auto"/>
      </w:divBdr>
    </w:div>
    <w:div w:id="1558319018">
      <w:bodyDiv w:val="1"/>
      <w:marLeft w:val="0"/>
      <w:marRight w:val="0"/>
      <w:marTop w:val="0"/>
      <w:marBottom w:val="0"/>
      <w:divBdr>
        <w:top w:val="none" w:sz="0" w:space="0" w:color="auto"/>
        <w:left w:val="none" w:sz="0" w:space="0" w:color="auto"/>
        <w:bottom w:val="none" w:sz="0" w:space="0" w:color="auto"/>
        <w:right w:val="none" w:sz="0" w:space="0" w:color="auto"/>
      </w:divBdr>
    </w:div>
    <w:div w:id="1562330578">
      <w:bodyDiv w:val="1"/>
      <w:marLeft w:val="0"/>
      <w:marRight w:val="0"/>
      <w:marTop w:val="0"/>
      <w:marBottom w:val="0"/>
      <w:divBdr>
        <w:top w:val="none" w:sz="0" w:space="0" w:color="auto"/>
        <w:left w:val="none" w:sz="0" w:space="0" w:color="auto"/>
        <w:bottom w:val="none" w:sz="0" w:space="0" w:color="auto"/>
        <w:right w:val="none" w:sz="0" w:space="0" w:color="auto"/>
      </w:divBdr>
    </w:div>
    <w:div w:id="1606771710">
      <w:bodyDiv w:val="1"/>
      <w:marLeft w:val="0"/>
      <w:marRight w:val="0"/>
      <w:marTop w:val="0"/>
      <w:marBottom w:val="0"/>
      <w:divBdr>
        <w:top w:val="none" w:sz="0" w:space="0" w:color="auto"/>
        <w:left w:val="none" w:sz="0" w:space="0" w:color="auto"/>
        <w:bottom w:val="none" w:sz="0" w:space="0" w:color="auto"/>
        <w:right w:val="none" w:sz="0" w:space="0" w:color="auto"/>
      </w:divBdr>
    </w:div>
    <w:div w:id="1649550751">
      <w:bodyDiv w:val="1"/>
      <w:marLeft w:val="0"/>
      <w:marRight w:val="0"/>
      <w:marTop w:val="0"/>
      <w:marBottom w:val="0"/>
      <w:divBdr>
        <w:top w:val="none" w:sz="0" w:space="0" w:color="auto"/>
        <w:left w:val="none" w:sz="0" w:space="0" w:color="auto"/>
        <w:bottom w:val="none" w:sz="0" w:space="0" w:color="auto"/>
        <w:right w:val="none" w:sz="0" w:space="0" w:color="auto"/>
      </w:divBdr>
    </w:div>
    <w:div w:id="1656453886">
      <w:bodyDiv w:val="1"/>
      <w:marLeft w:val="0"/>
      <w:marRight w:val="0"/>
      <w:marTop w:val="0"/>
      <w:marBottom w:val="0"/>
      <w:divBdr>
        <w:top w:val="none" w:sz="0" w:space="0" w:color="auto"/>
        <w:left w:val="none" w:sz="0" w:space="0" w:color="auto"/>
        <w:bottom w:val="none" w:sz="0" w:space="0" w:color="auto"/>
        <w:right w:val="none" w:sz="0" w:space="0" w:color="auto"/>
      </w:divBdr>
    </w:div>
    <w:div w:id="1678380349">
      <w:bodyDiv w:val="1"/>
      <w:marLeft w:val="0"/>
      <w:marRight w:val="0"/>
      <w:marTop w:val="0"/>
      <w:marBottom w:val="0"/>
      <w:divBdr>
        <w:top w:val="none" w:sz="0" w:space="0" w:color="auto"/>
        <w:left w:val="none" w:sz="0" w:space="0" w:color="auto"/>
        <w:bottom w:val="none" w:sz="0" w:space="0" w:color="auto"/>
        <w:right w:val="none" w:sz="0" w:space="0" w:color="auto"/>
      </w:divBdr>
      <w:divsChild>
        <w:div w:id="1547568034">
          <w:marLeft w:val="0"/>
          <w:marRight w:val="0"/>
          <w:marTop w:val="15"/>
          <w:marBottom w:val="0"/>
          <w:divBdr>
            <w:top w:val="single" w:sz="6" w:space="0" w:color="B6BBBF"/>
            <w:left w:val="none" w:sz="0" w:space="0" w:color="auto"/>
            <w:bottom w:val="none" w:sz="0" w:space="0" w:color="auto"/>
            <w:right w:val="none" w:sz="0" w:space="0" w:color="auto"/>
          </w:divBdr>
          <w:divsChild>
            <w:div w:id="1358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7582">
      <w:bodyDiv w:val="1"/>
      <w:marLeft w:val="0"/>
      <w:marRight w:val="0"/>
      <w:marTop w:val="0"/>
      <w:marBottom w:val="0"/>
      <w:divBdr>
        <w:top w:val="none" w:sz="0" w:space="0" w:color="auto"/>
        <w:left w:val="none" w:sz="0" w:space="0" w:color="auto"/>
        <w:bottom w:val="none" w:sz="0" w:space="0" w:color="auto"/>
        <w:right w:val="none" w:sz="0" w:space="0" w:color="auto"/>
      </w:divBdr>
    </w:div>
    <w:div w:id="1818494761">
      <w:bodyDiv w:val="1"/>
      <w:marLeft w:val="0"/>
      <w:marRight w:val="0"/>
      <w:marTop w:val="0"/>
      <w:marBottom w:val="0"/>
      <w:divBdr>
        <w:top w:val="none" w:sz="0" w:space="0" w:color="auto"/>
        <w:left w:val="none" w:sz="0" w:space="0" w:color="auto"/>
        <w:bottom w:val="none" w:sz="0" w:space="0" w:color="auto"/>
        <w:right w:val="none" w:sz="0" w:space="0" w:color="auto"/>
      </w:divBdr>
    </w:div>
    <w:div w:id="1941646401">
      <w:bodyDiv w:val="1"/>
      <w:marLeft w:val="0"/>
      <w:marRight w:val="0"/>
      <w:marTop w:val="0"/>
      <w:marBottom w:val="0"/>
      <w:divBdr>
        <w:top w:val="none" w:sz="0" w:space="0" w:color="auto"/>
        <w:left w:val="none" w:sz="0" w:space="0" w:color="auto"/>
        <w:bottom w:val="none" w:sz="0" w:space="0" w:color="auto"/>
        <w:right w:val="none" w:sz="0" w:space="0" w:color="auto"/>
      </w:divBdr>
    </w:div>
    <w:div w:id="1942639077">
      <w:bodyDiv w:val="1"/>
      <w:marLeft w:val="0"/>
      <w:marRight w:val="0"/>
      <w:marTop w:val="0"/>
      <w:marBottom w:val="0"/>
      <w:divBdr>
        <w:top w:val="none" w:sz="0" w:space="0" w:color="auto"/>
        <w:left w:val="none" w:sz="0" w:space="0" w:color="auto"/>
        <w:bottom w:val="none" w:sz="0" w:space="0" w:color="auto"/>
        <w:right w:val="none" w:sz="0" w:space="0" w:color="auto"/>
      </w:divBdr>
    </w:div>
    <w:div w:id="1981377316">
      <w:bodyDiv w:val="1"/>
      <w:marLeft w:val="0"/>
      <w:marRight w:val="0"/>
      <w:marTop w:val="0"/>
      <w:marBottom w:val="0"/>
      <w:divBdr>
        <w:top w:val="none" w:sz="0" w:space="0" w:color="auto"/>
        <w:left w:val="none" w:sz="0" w:space="0" w:color="auto"/>
        <w:bottom w:val="none" w:sz="0" w:space="0" w:color="auto"/>
        <w:right w:val="none" w:sz="0" w:space="0" w:color="auto"/>
      </w:divBdr>
      <w:divsChild>
        <w:div w:id="1618364869">
          <w:marLeft w:val="0"/>
          <w:marRight w:val="0"/>
          <w:marTop w:val="0"/>
          <w:marBottom w:val="0"/>
          <w:divBdr>
            <w:top w:val="none" w:sz="0" w:space="0" w:color="auto"/>
            <w:left w:val="none" w:sz="0" w:space="0" w:color="auto"/>
            <w:bottom w:val="none" w:sz="0" w:space="0" w:color="auto"/>
            <w:right w:val="none" w:sz="0" w:space="0" w:color="auto"/>
          </w:divBdr>
        </w:div>
        <w:div w:id="782070436">
          <w:marLeft w:val="0"/>
          <w:marRight w:val="0"/>
          <w:marTop w:val="0"/>
          <w:marBottom w:val="0"/>
          <w:divBdr>
            <w:top w:val="none" w:sz="0" w:space="0" w:color="auto"/>
            <w:left w:val="none" w:sz="0" w:space="0" w:color="auto"/>
            <w:bottom w:val="none" w:sz="0" w:space="0" w:color="auto"/>
            <w:right w:val="none" w:sz="0" w:space="0" w:color="auto"/>
          </w:divBdr>
        </w:div>
        <w:div w:id="622926389">
          <w:marLeft w:val="0"/>
          <w:marRight w:val="0"/>
          <w:marTop w:val="0"/>
          <w:marBottom w:val="0"/>
          <w:divBdr>
            <w:top w:val="none" w:sz="0" w:space="0" w:color="auto"/>
            <w:left w:val="none" w:sz="0" w:space="0" w:color="auto"/>
            <w:bottom w:val="none" w:sz="0" w:space="0" w:color="auto"/>
            <w:right w:val="none" w:sz="0" w:space="0" w:color="auto"/>
          </w:divBdr>
        </w:div>
      </w:divsChild>
    </w:div>
    <w:div w:id="2030721346">
      <w:bodyDiv w:val="1"/>
      <w:marLeft w:val="0"/>
      <w:marRight w:val="0"/>
      <w:marTop w:val="0"/>
      <w:marBottom w:val="0"/>
      <w:divBdr>
        <w:top w:val="none" w:sz="0" w:space="0" w:color="auto"/>
        <w:left w:val="none" w:sz="0" w:space="0" w:color="auto"/>
        <w:bottom w:val="none" w:sz="0" w:space="0" w:color="auto"/>
        <w:right w:val="none" w:sz="0" w:space="0" w:color="auto"/>
      </w:divBdr>
    </w:div>
    <w:div w:id="20913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uise@qub.ac.uk" TargetMode="External"/><Relationship Id="rId13" Type="http://schemas.openxmlformats.org/officeDocument/2006/relationships/hyperlink" Target="https://sites.google.com/site/theipaq/scoring-protocol" TargetMode="External"/><Relationship Id="rId18" Type="http://schemas.openxmlformats.org/officeDocument/2006/relationships/hyperlink" Target="http://www.euro.who.int/en/data-and-evidence/databases/european-health-for-all-database-hfa-d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irc.ahajournals.org/search?author1=Sean+Coady&amp;sortspec=date&amp;submit=Submit" TargetMode="External"/><Relationship Id="rId7" Type="http://schemas.openxmlformats.org/officeDocument/2006/relationships/endnotes" Target="endnotes.xml"/><Relationship Id="rId12" Type="http://schemas.openxmlformats.org/officeDocument/2006/relationships/hyperlink" Target="https://discover.ukdataservice.ac.uk/catalogue/?sn=7258" TargetMode="External"/><Relationship Id="rId17" Type="http://schemas.openxmlformats.org/officeDocument/2006/relationships/hyperlink" Target="https://www.dhsspsni.gov.uk/sites/default/files/publications/dhssps/service-framework-for-cardiovascular-health-and-wellbeing-april-2014-march-201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ubs.rcsi.ie/cgi/viewcontent.cgi?article=1034&amp;context=psycholrep" TargetMode="External"/><Relationship Id="rId20" Type="http://schemas.openxmlformats.org/officeDocument/2006/relationships/hyperlink" Target="https://circ.ahajournals.org/search?author1=Shih-Jen+Hwang&amp;sortspec=date&amp;submit=Subm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isra.gov.uk/surveyNIHS.asp5.htm" TargetMode="External"/><Relationship Id="rId24" Type="http://schemas.openxmlformats.org/officeDocument/2006/relationships/hyperlink" Target="https://circ.ahajournals.org/search?author1=Peter+J.+Savage&amp;sortspec=date&amp;submit=Submit" TargetMode="External"/><Relationship Id="rId5" Type="http://schemas.openxmlformats.org/officeDocument/2006/relationships/webSettings" Target="webSettings.xml"/><Relationship Id="rId15" Type="http://schemas.openxmlformats.org/officeDocument/2006/relationships/hyperlink" Target="http://www.ucd.ie/issda" TargetMode="External"/><Relationship Id="rId23" Type="http://schemas.openxmlformats.org/officeDocument/2006/relationships/hyperlink" Target="https://circ.ahajournals.org/search?author1=Ralph+B.+D'Agostino+Sr&amp;sortspec=date&amp;submit=Submit" TargetMode="External"/><Relationship Id="rId28" Type="http://schemas.openxmlformats.org/officeDocument/2006/relationships/header" Target="header3.xml"/><Relationship Id="rId10" Type="http://schemas.openxmlformats.org/officeDocument/2006/relationships/hyperlink" Target="http://www.issda.ie" TargetMode="External"/><Relationship Id="rId19" Type="http://schemas.openxmlformats.org/officeDocument/2006/relationships/hyperlink" Target="https://circ.ahajournals.org/search?author1=Sarah+Rosner+Preis&amp;sortspec=date&amp;submit=Submit" TargetMode="External"/><Relationship Id="rId4" Type="http://schemas.openxmlformats.org/officeDocument/2006/relationships/settings" Target="settings.xml"/><Relationship Id="rId9" Type="http://schemas.openxmlformats.org/officeDocument/2006/relationships/hyperlink" Target="http://www.tilda.ie" TargetMode="External"/><Relationship Id="rId14" Type="http://schemas.openxmlformats.org/officeDocument/2006/relationships/image" Target="media/image1.png"/><Relationship Id="rId22" Type="http://schemas.openxmlformats.org/officeDocument/2006/relationships/hyperlink" Target="https://circ.ahajournals.org/search?author1=Michael+J.+Pencina&amp;sortspec=date&amp;submit=Submi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18E4-4DDA-4D59-B4E3-92F3DC12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sharonmary</cp:lastModifiedBy>
  <cp:revision>2</cp:revision>
  <cp:lastPrinted>2017-07-26T14:37:00Z</cp:lastPrinted>
  <dcterms:created xsi:type="dcterms:W3CDTF">2017-08-28T12:23:00Z</dcterms:created>
  <dcterms:modified xsi:type="dcterms:W3CDTF">2017-08-28T12:23:00Z</dcterms:modified>
</cp:coreProperties>
</file>